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26" w:rsidRDefault="00673387">
      <w:pPr>
        <w:tabs>
          <w:tab w:val="left" w:pos="8042"/>
        </w:tabs>
        <w:spacing w:before="76" w:line="307" w:lineRule="auto"/>
        <w:ind w:left="9552" w:right="143" w:hanging="9384"/>
        <w:rPr>
          <w:b/>
          <w:sz w:val="27"/>
        </w:rPr>
      </w:pPr>
      <w:r>
        <w:pict>
          <v:line id="_x0000_s1027" style="position:absolute;left:0;text-align:left;z-index:-251658240;mso-position-horizontal-relative:page" from="69.3pt,20.2pt" to="575.9pt,20.2pt" strokeweight=".76339mm">
            <w10:wrap anchorx="page"/>
          </v:line>
        </w:pict>
      </w:r>
      <w:proofErr w:type="gramStart"/>
      <w:r>
        <w:rPr>
          <w:b/>
          <w:sz w:val="27"/>
        </w:rPr>
        <w:t>California  State</w:t>
      </w:r>
      <w:proofErr w:type="gramEnd"/>
      <w:r>
        <w:rPr>
          <w:b/>
          <w:sz w:val="27"/>
        </w:rPr>
        <w:t xml:space="preserve"> </w:t>
      </w:r>
      <w:r>
        <w:rPr>
          <w:b/>
          <w:sz w:val="27"/>
          <w:u w:val="thick"/>
        </w:rPr>
        <w:t>University,</w:t>
      </w:r>
      <w:r>
        <w:rPr>
          <w:b/>
          <w:spacing w:val="3"/>
          <w:sz w:val="27"/>
          <w:u w:val="thick"/>
        </w:rPr>
        <w:t xml:space="preserve"> </w:t>
      </w:r>
      <w:r>
        <w:rPr>
          <w:b/>
          <w:sz w:val="27"/>
          <w:u w:val="thick"/>
        </w:rPr>
        <w:t>Long</w:t>
      </w:r>
      <w:r>
        <w:rPr>
          <w:b/>
          <w:spacing w:val="18"/>
          <w:sz w:val="27"/>
        </w:rPr>
        <w:t xml:space="preserve"> </w:t>
      </w:r>
      <w:r>
        <w:rPr>
          <w:b/>
          <w:sz w:val="27"/>
        </w:rPr>
        <w:t>Beach</w:t>
      </w:r>
      <w:r>
        <w:rPr>
          <w:b/>
          <w:sz w:val="27"/>
        </w:rPr>
        <w:tab/>
      </w:r>
      <w:r>
        <w:rPr>
          <w:b/>
          <w:position w:val="1"/>
          <w:sz w:val="27"/>
          <w:u w:val="thick"/>
        </w:rPr>
        <w:t>Policy</w:t>
      </w:r>
      <w:r>
        <w:rPr>
          <w:b/>
          <w:position w:val="1"/>
          <w:sz w:val="27"/>
        </w:rPr>
        <w:t xml:space="preserve"> Statement </w:t>
      </w:r>
      <w:r>
        <w:rPr>
          <w:b/>
          <w:sz w:val="27"/>
        </w:rPr>
        <w:t>89-01</w:t>
      </w:r>
    </w:p>
    <w:p w:rsidR="00452026" w:rsidRDefault="00673387">
      <w:pPr>
        <w:pStyle w:val="Heading1"/>
        <w:spacing w:before="117"/>
        <w:ind w:right="136"/>
        <w:jc w:val="right"/>
      </w:pPr>
      <w:r>
        <w:rPr>
          <w:w w:val="105"/>
        </w:rPr>
        <w:t>April 14, 1989</w:t>
      </w:r>
    </w:p>
    <w:p w:rsidR="00452026" w:rsidRDefault="00452026">
      <w:pPr>
        <w:pStyle w:val="BodyText"/>
        <w:rPr>
          <w:b/>
          <w:sz w:val="20"/>
        </w:rPr>
      </w:pPr>
    </w:p>
    <w:p w:rsidR="00452026" w:rsidRDefault="00452026">
      <w:pPr>
        <w:pStyle w:val="BodyText"/>
        <w:spacing w:before="10"/>
        <w:rPr>
          <w:b/>
          <w:sz w:val="29"/>
        </w:rPr>
      </w:pPr>
    </w:p>
    <w:p w:rsidR="00452026" w:rsidRDefault="00673387">
      <w:pPr>
        <w:spacing w:before="1"/>
        <w:ind w:left="3369"/>
        <w:rPr>
          <w:b/>
          <w:sz w:val="23"/>
        </w:rPr>
      </w:pPr>
      <w:r>
        <w:rPr>
          <w:b/>
          <w:w w:val="105"/>
          <w:sz w:val="23"/>
        </w:rPr>
        <w:t>Master of Science in Counseling</w:t>
      </w:r>
    </w:p>
    <w:p w:rsidR="00452026" w:rsidRDefault="00452026">
      <w:pPr>
        <w:pStyle w:val="BodyText"/>
        <w:rPr>
          <w:b/>
          <w:sz w:val="31"/>
        </w:rPr>
      </w:pPr>
    </w:p>
    <w:p w:rsidR="00452026" w:rsidRDefault="00673387">
      <w:pPr>
        <w:pStyle w:val="BodyText"/>
        <w:ind w:left="155"/>
      </w:pPr>
      <w:r>
        <w:rPr>
          <w:w w:val="105"/>
        </w:rPr>
        <w:t>The program</w:t>
      </w:r>
      <w:r>
        <w:rPr>
          <w:w w:val="105"/>
        </w:rPr>
        <w:t xml:space="preserve"> described below was approved by the Office of the Chancellor on February 3, 1989.</w:t>
      </w:r>
    </w:p>
    <w:p w:rsidR="00452026" w:rsidRDefault="00452026">
      <w:pPr>
        <w:pStyle w:val="BodyText"/>
        <w:rPr>
          <w:sz w:val="20"/>
        </w:rPr>
      </w:pPr>
    </w:p>
    <w:p w:rsidR="00452026" w:rsidRDefault="00452026">
      <w:pPr>
        <w:pStyle w:val="BodyText"/>
        <w:spacing w:before="9"/>
        <w:rPr>
          <w:sz w:val="23"/>
        </w:rPr>
      </w:pPr>
    </w:p>
    <w:p w:rsidR="00452026" w:rsidRDefault="00673387">
      <w:pPr>
        <w:pStyle w:val="Heading1"/>
        <w:ind w:left="153"/>
      </w:pPr>
      <w:r>
        <w:rPr>
          <w:w w:val="105"/>
        </w:rPr>
        <w:t>Prerequisites for the General Option and the Option in Marriage, Family, and Child Counseling</w:t>
      </w:r>
    </w:p>
    <w:p w:rsidR="00452026" w:rsidRDefault="00673387">
      <w:pPr>
        <w:pStyle w:val="BodyText"/>
        <w:spacing w:before="41" w:line="220" w:lineRule="auto"/>
        <w:ind w:left="152" w:right="143"/>
      </w:pPr>
      <w:r>
        <w:t>A bachelor's degree with 24 upper division units in the following areas of study in the behavioral sciences (suggested courses in education noted in parentheses):</w:t>
      </w:r>
    </w:p>
    <w:p w:rsidR="00452026" w:rsidRDefault="00673387">
      <w:pPr>
        <w:pStyle w:val="ListParagraph"/>
        <w:numPr>
          <w:ilvl w:val="0"/>
          <w:numId w:val="2"/>
        </w:numPr>
        <w:tabs>
          <w:tab w:val="left" w:pos="435"/>
        </w:tabs>
        <w:rPr>
          <w:sz w:val="19"/>
        </w:rPr>
      </w:pPr>
      <w:r>
        <w:rPr>
          <w:w w:val="105"/>
          <w:sz w:val="19"/>
        </w:rPr>
        <w:t>Developmental:</w:t>
      </w:r>
      <w:r>
        <w:rPr>
          <w:spacing w:val="-13"/>
          <w:w w:val="105"/>
          <w:sz w:val="19"/>
        </w:rPr>
        <w:t xml:space="preserve"> </w:t>
      </w:r>
      <w:r>
        <w:rPr>
          <w:w w:val="105"/>
          <w:sz w:val="19"/>
        </w:rPr>
        <w:t>3</w:t>
      </w:r>
      <w:r>
        <w:rPr>
          <w:spacing w:val="-5"/>
          <w:w w:val="105"/>
          <w:sz w:val="19"/>
        </w:rPr>
        <w:t xml:space="preserve"> </w:t>
      </w:r>
      <w:r>
        <w:rPr>
          <w:w w:val="105"/>
          <w:sz w:val="19"/>
        </w:rPr>
        <w:t>units</w:t>
      </w:r>
      <w:r>
        <w:rPr>
          <w:spacing w:val="-15"/>
          <w:w w:val="105"/>
          <w:sz w:val="19"/>
        </w:rPr>
        <w:t xml:space="preserve"> </w:t>
      </w:r>
      <w:r>
        <w:rPr>
          <w:w w:val="105"/>
          <w:sz w:val="19"/>
        </w:rPr>
        <w:t>(EDP</w:t>
      </w:r>
      <w:r>
        <w:rPr>
          <w:spacing w:val="-8"/>
          <w:w w:val="105"/>
          <w:sz w:val="19"/>
        </w:rPr>
        <w:t xml:space="preserve"> </w:t>
      </w:r>
      <w:r>
        <w:rPr>
          <w:w w:val="105"/>
          <w:sz w:val="19"/>
        </w:rPr>
        <w:t>301</w:t>
      </w:r>
      <w:r>
        <w:rPr>
          <w:spacing w:val="-7"/>
          <w:w w:val="105"/>
          <w:sz w:val="19"/>
        </w:rPr>
        <w:t xml:space="preserve"> </w:t>
      </w:r>
      <w:r>
        <w:rPr>
          <w:w w:val="105"/>
          <w:sz w:val="19"/>
        </w:rPr>
        <w:t>or</w:t>
      </w:r>
      <w:r>
        <w:rPr>
          <w:spacing w:val="-10"/>
          <w:w w:val="105"/>
          <w:sz w:val="19"/>
        </w:rPr>
        <w:t xml:space="preserve"> </w:t>
      </w:r>
      <w:r>
        <w:rPr>
          <w:w w:val="105"/>
          <w:sz w:val="19"/>
        </w:rPr>
        <w:t>302);</w:t>
      </w:r>
    </w:p>
    <w:p w:rsidR="00452026" w:rsidRDefault="00673387">
      <w:pPr>
        <w:pStyle w:val="ListParagraph"/>
        <w:numPr>
          <w:ilvl w:val="0"/>
          <w:numId w:val="2"/>
        </w:numPr>
        <w:tabs>
          <w:tab w:val="left" w:pos="434"/>
        </w:tabs>
        <w:ind w:left="433" w:hanging="285"/>
        <w:rPr>
          <w:sz w:val="19"/>
        </w:rPr>
      </w:pPr>
      <w:r>
        <w:rPr>
          <w:sz w:val="19"/>
        </w:rPr>
        <w:t>Educational Psychology: 3 units (EDP</w:t>
      </w:r>
      <w:r>
        <w:rPr>
          <w:spacing w:val="-1"/>
          <w:sz w:val="19"/>
        </w:rPr>
        <w:t xml:space="preserve"> </w:t>
      </w:r>
      <w:r>
        <w:rPr>
          <w:sz w:val="19"/>
        </w:rPr>
        <w:t>305);</w:t>
      </w:r>
    </w:p>
    <w:p w:rsidR="00452026" w:rsidRDefault="00673387">
      <w:pPr>
        <w:pStyle w:val="ListParagraph"/>
        <w:numPr>
          <w:ilvl w:val="0"/>
          <w:numId w:val="2"/>
        </w:numPr>
        <w:tabs>
          <w:tab w:val="left" w:pos="435"/>
        </w:tabs>
        <w:rPr>
          <w:sz w:val="19"/>
        </w:rPr>
      </w:pPr>
      <w:r>
        <w:rPr>
          <w:sz w:val="19"/>
        </w:rPr>
        <w:t>Behavior Dynamics: 3 units (EDP 311);</w:t>
      </w:r>
    </w:p>
    <w:p w:rsidR="00452026" w:rsidRDefault="00673387">
      <w:pPr>
        <w:pStyle w:val="ListParagraph"/>
        <w:numPr>
          <w:ilvl w:val="0"/>
          <w:numId w:val="2"/>
        </w:numPr>
        <w:tabs>
          <w:tab w:val="left" w:pos="432"/>
        </w:tabs>
        <w:spacing w:line="202" w:lineRule="exact"/>
        <w:ind w:left="431" w:hanging="283"/>
        <w:rPr>
          <w:sz w:val="19"/>
        </w:rPr>
      </w:pPr>
      <w:r>
        <w:rPr>
          <w:sz w:val="19"/>
        </w:rPr>
        <w:t>Individual Differences: 3 units (EDP</w:t>
      </w:r>
      <w:r>
        <w:rPr>
          <w:spacing w:val="-8"/>
          <w:sz w:val="19"/>
        </w:rPr>
        <w:t xml:space="preserve"> </w:t>
      </w:r>
      <w:r>
        <w:rPr>
          <w:sz w:val="19"/>
        </w:rPr>
        <w:t>350);</w:t>
      </w:r>
    </w:p>
    <w:p w:rsidR="00452026" w:rsidRDefault="00673387">
      <w:pPr>
        <w:pStyle w:val="ListParagraph"/>
        <w:numPr>
          <w:ilvl w:val="0"/>
          <w:numId w:val="2"/>
        </w:numPr>
        <w:tabs>
          <w:tab w:val="left" w:pos="433"/>
        </w:tabs>
        <w:spacing w:line="202" w:lineRule="exact"/>
        <w:ind w:left="432" w:hanging="284"/>
        <w:rPr>
          <w:sz w:val="19"/>
        </w:rPr>
      </w:pPr>
      <w:r>
        <w:rPr>
          <w:w w:val="105"/>
          <w:sz w:val="19"/>
        </w:rPr>
        <w:t>Statistics</w:t>
      </w:r>
      <w:r>
        <w:rPr>
          <w:spacing w:val="-11"/>
          <w:w w:val="105"/>
          <w:sz w:val="19"/>
        </w:rPr>
        <w:t xml:space="preserve"> </w:t>
      </w:r>
      <w:r>
        <w:rPr>
          <w:w w:val="105"/>
          <w:sz w:val="19"/>
        </w:rPr>
        <w:t>and</w:t>
      </w:r>
      <w:r>
        <w:rPr>
          <w:spacing w:val="-15"/>
          <w:w w:val="105"/>
          <w:sz w:val="19"/>
        </w:rPr>
        <w:t xml:space="preserve"> </w:t>
      </w:r>
      <w:r>
        <w:rPr>
          <w:w w:val="105"/>
          <w:sz w:val="19"/>
        </w:rPr>
        <w:t>Measurement:</w:t>
      </w:r>
      <w:r>
        <w:rPr>
          <w:spacing w:val="5"/>
          <w:w w:val="105"/>
          <w:sz w:val="19"/>
        </w:rPr>
        <w:t xml:space="preserve"> </w:t>
      </w:r>
      <w:r>
        <w:rPr>
          <w:w w:val="105"/>
          <w:sz w:val="19"/>
        </w:rPr>
        <w:t>6</w:t>
      </w:r>
      <w:r>
        <w:rPr>
          <w:spacing w:val="-20"/>
          <w:w w:val="105"/>
          <w:sz w:val="19"/>
        </w:rPr>
        <w:t xml:space="preserve"> </w:t>
      </w:r>
      <w:r>
        <w:rPr>
          <w:w w:val="105"/>
          <w:sz w:val="19"/>
        </w:rPr>
        <w:t>units</w:t>
      </w:r>
      <w:r>
        <w:rPr>
          <w:spacing w:val="-15"/>
          <w:w w:val="105"/>
          <w:sz w:val="19"/>
        </w:rPr>
        <w:t xml:space="preserve"> </w:t>
      </w:r>
      <w:r>
        <w:rPr>
          <w:w w:val="105"/>
          <w:sz w:val="19"/>
        </w:rPr>
        <w:t>(EDP</w:t>
      </w:r>
      <w:r>
        <w:rPr>
          <w:spacing w:val="-5"/>
          <w:w w:val="105"/>
          <w:sz w:val="19"/>
        </w:rPr>
        <w:t xml:space="preserve"> </w:t>
      </w:r>
      <w:r>
        <w:rPr>
          <w:w w:val="105"/>
          <w:sz w:val="19"/>
        </w:rPr>
        <w:t>419</w:t>
      </w:r>
      <w:r>
        <w:rPr>
          <w:spacing w:val="-10"/>
          <w:w w:val="105"/>
          <w:sz w:val="19"/>
        </w:rPr>
        <w:t xml:space="preserve"> </w:t>
      </w:r>
      <w:r>
        <w:rPr>
          <w:w w:val="105"/>
          <w:sz w:val="19"/>
        </w:rPr>
        <w:t>and</w:t>
      </w:r>
      <w:r>
        <w:rPr>
          <w:spacing w:val="-10"/>
          <w:w w:val="105"/>
          <w:sz w:val="19"/>
        </w:rPr>
        <w:t xml:space="preserve"> </w:t>
      </w:r>
      <w:r>
        <w:rPr>
          <w:w w:val="105"/>
          <w:sz w:val="19"/>
        </w:rPr>
        <w:t>420);</w:t>
      </w:r>
    </w:p>
    <w:p w:rsidR="00452026" w:rsidRDefault="00673387">
      <w:pPr>
        <w:pStyle w:val="ListParagraph"/>
        <w:numPr>
          <w:ilvl w:val="0"/>
          <w:numId w:val="2"/>
        </w:numPr>
        <w:tabs>
          <w:tab w:val="left" w:pos="433"/>
        </w:tabs>
        <w:ind w:left="432" w:hanging="284"/>
        <w:rPr>
          <w:sz w:val="19"/>
        </w:rPr>
      </w:pPr>
      <w:r>
        <w:rPr>
          <w:w w:val="105"/>
          <w:sz w:val="19"/>
        </w:rPr>
        <w:t>Counseling</w:t>
      </w:r>
      <w:r>
        <w:rPr>
          <w:spacing w:val="-7"/>
          <w:w w:val="105"/>
          <w:sz w:val="19"/>
        </w:rPr>
        <w:t xml:space="preserve"> </w:t>
      </w:r>
      <w:r>
        <w:rPr>
          <w:w w:val="105"/>
          <w:sz w:val="19"/>
        </w:rPr>
        <w:t>and</w:t>
      </w:r>
      <w:r>
        <w:rPr>
          <w:spacing w:val="-20"/>
          <w:w w:val="105"/>
          <w:sz w:val="19"/>
        </w:rPr>
        <w:t xml:space="preserve"> </w:t>
      </w:r>
      <w:r>
        <w:rPr>
          <w:w w:val="105"/>
          <w:sz w:val="19"/>
        </w:rPr>
        <w:t>Guidance:</w:t>
      </w:r>
      <w:r>
        <w:rPr>
          <w:spacing w:val="-6"/>
          <w:w w:val="105"/>
          <w:sz w:val="19"/>
        </w:rPr>
        <w:t xml:space="preserve"> </w:t>
      </w:r>
      <w:r>
        <w:rPr>
          <w:w w:val="105"/>
          <w:sz w:val="19"/>
        </w:rPr>
        <w:t>3</w:t>
      </w:r>
      <w:r>
        <w:rPr>
          <w:spacing w:val="-8"/>
          <w:w w:val="105"/>
          <w:sz w:val="19"/>
        </w:rPr>
        <w:t xml:space="preserve"> </w:t>
      </w:r>
      <w:r>
        <w:rPr>
          <w:w w:val="105"/>
          <w:sz w:val="19"/>
        </w:rPr>
        <w:t>units</w:t>
      </w:r>
      <w:r>
        <w:rPr>
          <w:spacing w:val="-13"/>
          <w:w w:val="105"/>
          <w:sz w:val="19"/>
        </w:rPr>
        <w:t xml:space="preserve"> </w:t>
      </w:r>
      <w:r>
        <w:rPr>
          <w:w w:val="105"/>
          <w:sz w:val="19"/>
        </w:rPr>
        <w:t>(ED</w:t>
      </w:r>
      <w:r>
        <w:rPr>
          <w:spacing w:val="-13"/>
          <w:w w:val="105"/>
          <w:sz w:val="19"/>
        </w:rPr>
        <w:t xml:space="preserve"> </w:t>
      </w:r>
      <w:r>
        <w:rPr>
          <w:w w:val="105"/>
          <w:sz w:val="19"/>
        </w:rPr>
        <w:t>P</w:t>
      </w:r>
      <w:r>
        <w:rPr>
          <w:spacing w:val="-11"/>
          <w:w w:val="105"/>
          <w:sz w:val="19"/>
        </w:rPr>
        <w:t xml:space="preserve"> </w:t>
      </w:r>
      <w:r>
        <w:rPr>
          <w:w w:val="105"/>
          <w:sz w:val="19"/>
        </w:rPr>
        <w:t>430</w:t>
      </w:r>
      <w:r>
        <w:rPr>
          <w:spacing w:val="-20"/>
          <w:w w:val="105"/>
          <w:sz w:val="19"/>
        </w:rPr>
        <w:t xml:space="preserve"> </w:t>
      </w:r>
      <w:r>
        <w:rPr>
          <w:w w:val="105"/>
          <w:sz w:val="19"/>
        </w:rPr>
        <w:t>or</w:t>
      </w:r>
      <w:r>
        <w:rPr>
          <w:spacing w:val="-1"/>
          <w:w w:val="105"/>
          <w:sz w:val="19"/>
        </w:rPr>
        <w:t xml:space="preserve"> </w:t>
      </w:r>
      <w:r>
        <w:rPr>
          <w:w w:val="105"/>
          <w:sz w:val="19"/>
        </w:rPr>
        <w:t>434B,</w:t>
      </w:r>
      <w:r>
        <w:rPr>
          <w:spacing w:val="-13"/>
          <w:w w:val="105"/>
          <w:sz w:val="19"/>
        </w:rPr>
        <w:t xml:space="preserve"> </w:t>
      </w:r>
      <w:r>
        <w:rPr>
          <w:w w:val="105"/>
          <w:sz w:val="19"/>
        </w:rPr>
        <w:t>ED</w:t>
      </w:r>
      <w:r>
        <w:rPr>
          <w:spacing w:val="-18"/>
          <w:w w:val="105"/>
          <w:sz w:val="19"/>
        </w:rPr>
        <w:t xml:space="preserve"> </w:t>
      </w:r>
      <w:r>
        <w:rPr>
          <w:w w:val="105"/>
          <w:sz w:val="19"/>
        </w:rPr>
        <w:t>P</w:t>
      </w:r>
      <w:r>
        <w:rPr>
          <w:spacing w:val="-13"/>
          <w:w w:val="105"/>
          <w:sz w:val="19"/>
        </w:rPr>
        <w:t xml:space="preserve"> </w:t>
      </w:r>
      <w:r>
        <w:rPr>
          <w:w w:val="105"/>
          <w:sz w:val="19"/>
        </w:rPr>
        <w:t>430</w:t>
      </w:r>
      <w:r>
        <w:rPr>
          <w:spacing w:val="-25"/>
          <w:w w:val="105"/>
          <w:sz w:val="19"/>
        </w:rPr>
        <w:t xml:space="preserve"> </w:t>
      </w:r>
      <w:r>
        <w:rPr>
          <w:w w:val="105"/>
          <w:sz w:val="19"/>
        </w:rPr>
        <w:t>required</w:t>
      </w:r>
      <w:r>
        <w:rPr>
          <w:spacing w:val="-12"/>
          <w:w w:val="105"/>
          <w:sz w:val="19"/>
        </w:rPr>
        <w:t xml:space="preserve"> </w:t>
      </w:r>
      <w:r>
        <w:rPr>
          <w:w w:val="105"/>
          <w:sz w:val="19"/>
        </w:rPr>
        <w:t>for</w:t>
      </w:r>
      <w:r>
        <w:rPr>
          <w:spacing w:val="-11"/>
          <w:w w:val="105"/>
          <w:sz w:val="19"/>
        </w:rPr>
        <w:t xml:space="preserve"> </w:t>
      </w:r>
      <w:r>
        <w:rPr>
          <w:w w:val="105"/>
          <w:sz w:val="19"/>
        </w:rPr>
        <w:t>MFCC</w:t>
      </w:r>
      <w:r>
        <w:rPr>
          <w:spacing w:val="-10"/>
          <w:w w:val="105"/>
          <w:sz w:val="19"/>
        </w:rPr>
        <w:t xml:space="preserve"> </w:t>
      </w:r>
      <w:r>
        <w:rPr>
          <w:w w:val="105"/>
          <w:sz w:val="19"/>
        </w:rPr>
        <w:t>Option).</w:t>
      </w:r>
    </w:p>
    <w:p w:rsidR="00452026" w:rsidRDefault="00673387">
      <w:pPr>
        <w:pStyle w:val="BodyText"/>
        <w:spacing w:before="2" w:line="220" w:lineRule="auto"/>
        <w:ind w:left="145" w:right="260" w:firstLine="5"/>
      </w:pPr>
      <w:r>
        <w:t>Other upper division courses may be substituted from Anthropology, Human Development, Social Work, Sociology, Psychology, or other appropriate disciplines provided they satisfy the area definition. Such substitutions must be selected in consultation with a</w:t>
      </w:r>
      <w:r>
        <w:t>n advisor.</w:t>
      </w:r>
    </w:p>
    <w:p w:rsidR="00452026" w:rsidRDefault="00673387">
      <w:pPr>
        <w:pStyle w:val="Heading1"/>
        <w:spacing w:before="169"/>
        <w:ind w:left="146"/>
      </w:pPr>
      <w:r>
        <w:rPr>
          <w:w w:val="105"/>
        </w:rPr>
        <w:t>Requirements for the General Option (code 7-3165)</w:t>
      </w:r>
    </w:p>
    <w:p w:rsidR="00452026" w:rsidRDefault="00673387">
      <w:pPr>
        <w:pStyle w:val="BodyText"/>
        <w:spacing w:before="34" w:line="230" w:lineRule="auto"/>
        <w:ind w:left="142" w:right="143" w:firstLine="1"/>
      </w:pPr>
      <w:r>
        <w:rPr>
          <w:w w:val="105"/>
        </w:rPr>
        <w:t>Students</w:t>
      </w:r>
      <w:r>
        <w:rPr>
          <w:spacing w:val="-20"/>
          <w:w w:val="105"/>
        </w:rPr>
        <w:t xml:space="preserve"> </w:t>
      </w:r>
      <w:r>
        <w:rPr>
          <w:w w:val="105"/>
        </w:rPr>
        <w:t>must</w:t>
      </w:r>
      <w:r>
        <w:rPr>
          <w:spacing w:val="-13"/>
          <w:w w:val="105"/>
        </w:rPr>
        <w:t xml:space="preserve"> </w:t>
      </w:r>
      <w:r>
        <w:rPr>
          <w:w w:val="105"/>
        </w:rPr>
        <w:t>complete</w:t>
      </w:r>
      <w:r>
        <w:rPr>
          <w:spacing w:val="-19"/>
          <w:w w:val="105"/>
        </w:rPr>
        <w:t xml:space="preserve"> </w:t>
      </w:r>
      <w:r>
        <w:rPr>
          <w:w w:val="105"/>
        </w:rPr>
        <w:t>a</w:t>
      </w:r>
      <w:r>
        <w:rPr>
          <w:spacing w:val="-17"/>
          <w:w w:val="105"/>
        </w:rPr>
        <w:t xml:space="preserve"> </w:t>
      </w:r>
      <w:r>
        <w:rPr>
          <w:w w:val="105"/>
        </w:rPr>
        <w:t>minimum</w:t>
      </w:r>
      <w:r>
        <w:rPr>
          <w:spacing w:val="-13"/>
          <w:w w:val="105"/>
        </w:rPr>
        <w:t xml:space="preserve"> </w:t>
      </w:r>
      <w:r>
        <w:rPr>
          <w:w w:val="105"/>
        </w:rPr>
        <w:t>of</w:t>
      </w:r>
      <w:r>
        <w:rPr>
          <w:spacing w:val="-17"/>
          <w:w w:val="105"/>
        </w:rPr>
        <w:t xml:space="preserve"> </w:t>
      </w:r>
      <w:r>
        <w:rPr>
          <w:w w:val="105"/>
        </w:rPr>
        <w:t>36</w:t>
      </w:r>
      <w:r>
        <w:rPr>
          <w:spacing w:val="-25"/>
          <w:w w:val="105"/>
        </w:rPr>
        <w:t xml:space="preserve"> </w:t>
      </w:r>
      <w:r>
        <w:rPr>
          <w:w w:val="105"/>
        </w:rPr>
        <w:t>units</w:t>
      </w:r>
      <w:r>
        <w:rPr>
          <w:spacing w:val="-23"/>
          <w:w w:val="105"/>
        </w:rPr>
        <w:t xml:space="preserve"> </w:t>
      </w:r>
      <w:r>
        <w:rPr>
          <w:w w:val="105"/>
        </w:rPr>
        <w:t>of</w:t>
      </w:r>
      <w:r>
        <w:rPr>
          <w:spacing w:val="-14"/>
          <w:w w:val="105"/>
        </w:rPr>
        <w:t xml:space="preserve"> </w:t>
      </w:r>
      <w:r>
        <w:rPr>
          <w:w w:val="105"/>
        </w:rPr>
        <w:t>upper</w:t>
      </w:r>
      <w:r>
        <w:rPr>
          <w:spacing w:val="-8"/>
          <w:w w:val="105"/>
        </w:rPr>
        <w:t xml:space="preserve"> </w:t>
      </w:r>
      <w:r>
        <w:rPr>
          <w:w w:val="105"/>
        </w:rPr>
        <w:t>division</w:t>
      </w:r>
      <w:r>
        <w:rPr>
          <w:spacing w:val="-18"/>
          <w:w w:val="105"/>
        </w:rPr>
        <w:t xml:space="preserve"> </w:t>
      </w:r>
      <w:r>
        <w:rPr>
          <w:w w:val="105"/>
        </w:rPr>
        <w:t>and</w:t>
      </w:r>
      <w:r>
        <w:rPr>
          <w:spacing w:val="-24"/>
          <w:w w:val="105"/>
        </w:rPr>
        <w:t xml:space="preserve"> </w:t>
      </w:r>
      <w:r>
        <w:rPr>
          <w:w w:val="105"/>
        </w:rPr>
        <w:t>graduate</w:t>
      </w:r>
      <w:r>
        <w:rPr>
          <w:spacing w:val="-20"/>
          <w:w w:val="105"/>
        </w:rPr>
        <w:t xml:space="preserve"> </w:t>
      </w:r>
      <w:r>
        <w:rPr>
          <w:w w:val="105"/>
        </w:rPr>
        <w:t>courses</w:t>
      </w:r>
      <w:r>
        <w:rPr>
          <w:spacing w:val="-20"/>
          <w:w w:val="105"/>
        </w:rPr>
        <w:t xml:space="preserve"> </w:t>
      </w:r>
      <w:r>
        <w:rPr>
          <w:w w:val="105"/>
        </w:rPr>
        <w:t>with</w:t>
      </w:r>
      <w:bookmarkStart w:id="0" w:name="_GoBack"/>
      <w:bookmarkEnd w:id="0"/>
      <w:r>
        <w:rPr>
          <w:spacing w:val="-23"/>
          <w:w w:val="105"/>
        </w:rPr>
        <w:t xml:space="preserve"> </w:t>
      </w:r>
      <w:r>
        <w:rPr>
          <w:w w:val="105"/>
        </w:rPr>
        <w:t>a</w:t>
      </w:r>
      <w:r>
        <w:rPr>
          <w:spacing w:val="-20"/>
          <w:w w:val="105"/>
        </w:rPr>
        <w:t xml:space="preserve"> </w:t>
      </w:r>
      <w:r>
        <w:rPr>
          <w:w w:val="105"/>
        </w:rPr>
        <w:t>minimum</w:t>
      </w:r>
      <w:r>
        <w:rPr>
          <w:spacing w:val="-13"/>
          <w:w w:val="105"/>
        </w:rPr>
        <w:t xml:space="preserve"> </w:t>
      </w:r>
      <w:r>
        <w:rPr>
          <w:w w:val="105"/>
        </w:rPr>
        <w:t>of</w:t>
      </w:r>
      <w:r>
        <w:rPr>
          <w:spacing w:val="-16"/>
          <w:w w:val="105"/>
        </w:rPr>
        <w:t xml:space="preserve"> </w:t>
      </w:r>
      <w:r>
        <w:rPr>
          <w:w w:val="105"/>
        </w:rPr>
        <w:t>27</w:t>
      </w:r>
      <w:r>
        <w:rPr>
          <w:spacing w:val="-27"/>
          <w:w w:val="105"/>
        </w:rPr>
        <w:t xml:space="preserve"> </w:t>
      </w:r>
      <w:r>
        <w:rPr>
          <w:w w:val="105"/>
        </w:rPr>
        <w:t>units</w:t>
      </w:r>
      <w:r>
        <w:rPr>
          <w:spacing w:val="-23"/>
          <w:w w:val="105"/>
        </w:rPr>
        <w:t xml:space="preserve"> </w:t>
      </w:r>
      <w:r>
        <w:rPr>
          <w:w w:val="105"/>
        </w:rPr>
        <w:t>in the</w:t>
      </w:r>
      <w:r>
        <w:rPr>
          <w:spacing w:val="-19"/>
          <w:w w:val="105"/>
        </w:rPr>
        <w:t xml:space="preserve"> </w:t>
      </w:r>
      <w:r>
        <w:rPr>
          <w:w w:val="105"/>
        </w:rPr>
        <w:t>500/600</w:t>
      </w:r>
      <w:r>
        <w:rPr>
          <w:spacing w:val="-8"/>
          <w:w w:val="105"/>
        </w:rPr>
        <w:t xml:space="preserve"> </w:t>
      </w:r>
      <w:r>
        <w:rPr>
          <w:w w:val="105"/>
        </w:rPr>
        <w:t>level</w:t>
      </w:r>
      <w:r>
        <w:rPr>
          <w:spacing w:val="-15"/>
          <w:w w:val="105"/>
        </w:rPr>
        <w:t xml:space="preserve"> </w:t>
      </w:r>
      <w:r>
        <w:rPr>
          <w:w w:val="105"/>
        </w:rPr>
        <w:t>series</w:t>
      </w:r>
      <w:r>
        <w:rPr>
          <w:spacing w:val="-18"/>
          <w:w w:val="105"/>
        </w:rPr>
        <w:t xml:space="preserve"> </w:t>
      </w:r>
      <w:r>
        <w:rPr>
          <w:w w:val="105"/>
        </w:rPr>
        <w:t>taken</w:t>
      </w:r>
      <w:r>
        <w:rPr>
          <w:spacing w:val="-12"/>
          <w:w w:val="105"/>
        </w:rPr>
        <w:t xml:space="preserve"> </w:t>
      </w:r>
      <w:r>
        <w:rPr>
          <w:w w:val="105"/>
        </w:rPr>
        <w:t>at</w:t>
      </w:r>
      <w:r>
        <w:rPr>
          <w:spacing w:val="-11"/>
          <w:w w:val="105"/>
        </w:rPr>
        <w:t xml:space="preserve"> </w:t>
      </w:r>
      <w:r>
        <w:rPr>
          <w:w w:val="105"/>
        </w:rPr>
        <w:t>this</w:t>
      </w:r>
      <w:r>
        <w:rPr>
          <w:spacing w:val="-17"/>
          <w:w w:val="105"/>
        </w:rPr>
        <w:t xml:space="preserve"> </w:t>
      </w:r>
      <w:r>
        <w:rPr>
          <w:w w:val="105"/>
        </w:rPr>
        <w:t>University</w:t>
      </w:r>
      <w:r>
        <w:rPr>
          <w:spacing w:val="1"/>
          <w:w w:val="105"/>
        </w:rPr>
        <w:t xml:space="preserve"> </w:t>
      </w:r>
      <w:r>
        <w:rPr>
          <w:w w:val="105"/>
        </w:rPr>
        <w:t>including</w:t>
      </w:r>
      <w:r>
        <w:rPr>
          <w:spacing w:val="-10"/>
          <w:w w:val="105"/>
        </w:rPr>
        <w:t xml:space="preserve"> </w:t>
      </w:r>
      <w:r>
        <w:rPr>
          <w:w w:val="105"/>
        </w:rPr>
        <w:t>the</w:t>
      </w:r>
      <w:r>
        <w:rPr>
          <w:spacing w:val="-12"/>
          <w:w w:val="105"/>
        </w:rPr>
        <w:t xml:space="preserve"> </w:t>
      </w:r>
      <w:r>
        <w:rPr>
          <w:w w:val="105"/>
        </w:rPr>
        <w:t>following:</w:t>
      </w:r>
    </w:p>
    <w:p w:rsidR="00452026" w:rsidRDefault="00673387">
      <w:pPr>
        <w:pStyle w:val="ListParagraph"/>
        <w:numPr>
          <w:ilvl w:val="1"/>
          <w:numId w:val="2"/>
        </w:numPr>
        <w:tabs>
          <w:tab w:val="left" w:pos="449"/>
        </w:tabs>
        <w:spacing w:line="188" w:lineRule="exact"/>
        <w:ind w:hanging="151"/>
        <w:rPr>
          <w:sz w:val="19"/>
        </w:rPr>
      </w:pPr>
      <w:r>
        <w:rPr>
          <w:w w:val="105"/>
          <w:sz w:val="19"/>
        </w:rPr>
        <w:t>Degree</w:t>
      </w:r>
      <w:r>
        <w:rPr>
          <w:spacing w:val="-15"/>
          <w:w w:val="105"/>
          <w:sz w:val="19"/>
        </w:rPr>
        <w:t xml:space="preserve"> </w:t>
      </w:r>
      <w:r>
        <w:rPr>
          <w:w w:val="105"/>
          <w:sz w:val="19"/>
        </w:rPr>
        <w:t>Core:</w:t>
      </w:r>
    </w:p>
    <w:p w:rsidR="00452026" w:rsidRDefault="00673387">
      <w:pPr>
        <w:pStyle w:val="ListParagraph"/>
        <w:numPr>
          <w:ilvl w:val="2"/>
          <w:numId w:val="2"/>
        </w:numPr>
        <w:tabs>
          <w:tab w:val="left" w:pos="518"/>
        </w:tabs>
        <w:ind w:hanging="211"/>
        <w:rPr>
          <w:sz w:val="19"/>
        </w:rPr>
      </w:pPr>
      <w:r>
        <w:rPr>
          <w:w w:val="105"/>
          <w:sz w:val="19"/>
        </w:rPr>
        <w:t>AII of the following 12 units: EDP 520, 532, 533, and</w:t>
      </w:r>
      <w:r>
        <w:rPr>
          <w:spacing w:val="-29"/>
          <w:w w:val="105"/>
          <w:sz w:val="19"/>
        </w:rPr>
        <w:t xml:space="preserve"> </w:t>
      </w:r>
      <w:r>
        <w:rPr>
          <w:w w:val="105"/>
          <w:sz w:val="19"/>
        </w:rPr>
        <w:t>536;</w:t>
      </w:r>
    </w:p>
    <w:p w:rsidR="00452026" w:rsidRDefault="00673387">
      <w:pPr>
        <w:pStyle w:val="ListParagraph"/>
        <w:numPr>
          <w:ilvl w:val="2"/>
          <w:numId w:val="2"/>
        </w:numPr>
        <w:tabs>
          <w:tab w:val="left" w:pos="527"/>
        </w:tabs>
        <w:spacing w:line="230" w:lineRule="auto"/>
        <w:ind w:right="671" w:hanging="211"/>
        <w:rPr>
          <w:sz w:val="19"/>
        </w:rPr>
      </w:pPr>
      <w:r>
        <w:rPr>
          <w:sz w:val="19"/>
        </w:rPr>
        <w:t>One of the following chosen in consultation with a faculty advisor: ED P 695A (2) or 695B (3) and 698 (4) for thesis;</w:t>
      </w:r>
      <w:r>
        <w:rPr>
          <w:spacing w:val="7"/>
          <w:sz w:val="19"/>
        </w:rPr>
        <w:t xml:space="preserve"> </w:t>
      </w:r>
      <w:r>
        <w:rPr>
          <w:sz w:val="19"/>
        </w:rPr>
        <w:t>or</w:t>
      </w:r>
      <w:r>
        <w:rPr>
          <w:sz w:val="19"/>
        </w:rPr>
        <w:t xml:space="preserve"> </w:t>
      </w:r>
      <w:r>
        <w:rPr>
          <w:sz w:val="19"/>
        </w:rPr>
        <w:t>ED</w:t>
      </w:r>
      <w:r>
        <w:rPr>
          <w:spacing w:val="-19"/>
          <w:sz w:val="19"/>
        </w:rPr>
        <w:t xml:space="preserve"> </w:t>
      </w:r>
      <w:r>
        <w:rPr>
          <w:sz w:val="19"/>
        </w:rPr>
        <w:t>P</w:t>
      </w:r>
      <w:r>
        <w:rPr>
          <w:spacing w:val="-11"/>
          <w:sz w:val="19"/>
        </w:rPr>
        <w:t xml:space="preserve"> </w:t>
      </w:r>
      <w:r>
        <w:rPr>
          <w:sz w:val="19"/>
        </w:rPr>
        <w:t>695B</w:t>
      </w:r>
      <w:r>
        <w:rPr>
          <w:spacing w:val="-3"/>
          <w:sz w:val="19"/>
        </w:rPr>
        <w:t xml:space="preserve"> </w:t>
      </w:r>
      <w:r>
        <w:rPr>
          <w:sz w:val="19"/>
        </w:rPr>
        <w:t>(3)</w:t>
      </w:r>
      <w:r>
        <w:rPr>
          <w:spacing w:val="-8"/>
          <w:sz w:val="19"/>
        </w:rPr>
        <w:t xml:space="preserve"> </w:t>
      </w:r>
      <w:r>
        <w:rPr>
          <w:sz w:val="19"/>
        </w:rPr>
        <w:t>and</w:t>
      </w:r>
      <w:r>
        <w:rPr>
          <w:spacing w:val="-19"/>
          <w:sz w:val="19"/>
        </w:rPr>
        <w:t xml:space="preserve"> </w:t>
      </w:r>
      <w:r>
        <w:rPr>
          <w:sz w:val="19"/>
        </w:rPr>
        <w:t>written</w:t>
      </w:r>
      <w:r>
        <w:rPr>
          <w:spacing w:val="-12"/>
          <w:sz w:val="19"/>
        </w:rPr>
        <w:t xml:space="preserve"> </w:t>
      </w:r>
      <w:r>
        <w:rPr>
          <w:sz w:val="19"/>
        </w:rPr>
        <w:t>comprehensive</w:t>
      </w:r>
      <w:r>
        <w:rPr>
          <w:spacing w:val="13"/>
          <w:sz w:val="19"/>
        </w:rPr>
        <w:t xml:space="preserve"> </w:t>
      </w:r>
      <w:r>
        <w:rPr>
          <w:sz w:val="19"/>
        </w:rPr>
        <w:t>examination.</w:t>
      </w:r>
    </w:p>
    <w:p w:rsidR="00452026" w:rsidRDefault="00673387">
      <w:pPr>
        <w:pStyle w:val="ListParagraph"/>
        <w:numPr>
          <w:ilvl w:val="1"/>
          <w:numId w:val="2"/>
        </w:numPr>
        <w:tabs>
          <w:tab w:val="left" w:pos="454"/>
        </w:tabs>
        <w:spacing w:line="220" w:lineRule="auto"/>
        <w:ind w:right="242" w:hanging="151"/>
        <w:rPr>
          <w:sz w:val="19"/>
        </w:rPr>
      </w:pPr>
      <w:r>
        <w:rPr>
          <w:sz w:val="19"/>
        </w:rPr>
        <w:t>General Option R</w:t>
      </w:r>
      <w:r>
        <w:rPr>
          <w:sz w:val="19"/>
        </w:rPr>
        <w:t>equirements by Specialization; completion of at least one of the following areas of specialization: (1)Elementary and Secondary Counseling and Guidance (12 units) EDP 541A, 545A, 631,</w:t>
      </w:r>
      <w:r>
        <w:rPr>
          <w:spacing w:val="-13"/>
          <w:sz w:val="19"/>
        </w:rPr>
        <w:t xml:space="preserve"> </w:t>
      </w:r>
      <w:r>
        <w:rPr>
          <w:sz w:val="19"/>
        </w:rPr>
        <w:t>637A;</w:t>
      </w:r>
    </w:p>
    <w:p w:rsidR="00452026" w:rsidRDefault="00673387">
      <w:pPr>
        <w:pStyle w:val="BodyText"/>
        <w:spacing w:line="220" w:lineRule="auto"/>
        <w:ind w:left="292" w:right="260"/>
      </w:pPr>
      <w:r>
        <w:t>(2)Student Services in Higher Education (15 units) All of the foll</w:t>
      </w:r>
      <w:r>
        <w:t>owing: EDP 538,539, 5418, 545B, and 637A; (3</w:t>
      </w:r>
      <w:proofErr w:type="gramStart"/>
      <w:r>
        <w:t>)Career</w:t>
      </w:r>
      <w:proofErr w:type="gramEnd"/>
      <w:r>
        <w:t xml:space="preserve"> Specialist (18 units) All of the following: EDP 529, 530, 531, 541C, 545C, and 637C.</w:t>
      </w:r>
    </w:p>
    <w:p w:rsidR="00452026" w:rsidRDefault="00673387">
      <w:pPr>
        <w:pStyle w:val="BodyText"/>
        <w:spacing w:line="220" w:lineRule="auto"/>
        <w:ind w:left="144" w:right="143" w:firstLine="3"/>
      </w:pPr>
      <w:r>
        <w:rPr>
          <w:w w:val="105"/>
        </w:rPr>
        <w:t>(C)Suggested</w:t>
      </w:r>
      <w:r>
        <w:rPr>
          <w:spacing w:val="-16"/>
          <w:w w:val="105"/>
        </w:rPr>
        <w:t xml:space="preserve"> </w:t>
      </w:r>
      <w:r>
        <w:rPr>
          <w:w w:val="105"/>
        </w:rPr>
        <w:t>electives</w:t>
      </w:r>
      <w:r>
        <w:rPr>
          <w:spacing w:val="-24"/>
          <w:w w:val="105"/>
        </w:rPr>
        <w:t xml:space="preserve"> </w:t>
      </w:r>
      <w:r>
        <w:rPr>
          <w:w w:val="105"/>
        </w:rPr>
        <w:t>to</w:t>
      </w:r>
      <w:r>
        <w:rPr>
          <w:spacing w:val="-16"/>
          <w:w w:val="105"/>
        </w:rPr>
        <w:t xml:space="preserve"> </w:t>
      </w:r>
      <w:r>
        <w:rPr>
          <w:w w:val="105"/>
        </w:rPr>
        <w:t>total</w:t>
      </w:r>
      <w:r>
        <w:rPr>
          <w:spacing w:val="-34"/>
          <w:w w:val="105"/>
        </w:rPr>
        <w:t xml:space="preserve"> </w:t>
      </w:r>
      <w:r>
        <w:rPr>
          <w:w w:val="105"/>
        </w:rPr>
        <w:t>36</w:t>
      </w:r>
      <w:r>
        <w:rPr>
          <w:spacing w:val="-31"/>
          <w:w w:val="105"/>
        </w:rPr>
        <w:t xml:space="preserve"> </w:t>
      </w:r>
      <w:r>
        <w:rPr>
          <w:w w:val="105"/>
        </w:rPr>
        <w:t>units</w:t>
      </w:r>
      <w:r>
        <w:rPr>
          <w:spacing w:val="-28"/>
          <w:w w:val="105"/>
        </w:rPr>
        <w:t xml:space="preserve"> </w:t>
      </w:r>
      <w:r>
        <w:rPr>
          <w:w w:val="105"/>
        </w:rPr>
        <w:t>(Other</w:t>
      </w:r>
      <w:r>
        <w:rPr>
          <w:spacing w:val="-16"/>
          <w:w w:val="105"/>
        </w:rPr>
        <w:t xml:space="preserve"> </w:t>
      </w:r>
      <w:r>
        <w:rPr>
          <w:w w:val="105"/>
        </w:rPr>
        <w:t>electives</w:t>
      </w:r>
      <w:r>
        <w:rPr>
          <w:spacing w:val="-22"/>
          <w:w w:val="105"/>
        </w:rPr>
        <w:t xml:space="preserve"> </w:t>
      </w:r>
      <w:r>
        <w:rPr>
          <w:w w:val="105"/>
        </w:rPr>
        <w:t>may</w:t>
      </w:r>
      <w:r>
        <w:rPr>
          <w:spacing w:val="-24"/>
          <w:w w:val="105"/>
        </w:rPr>
        <w:t xml:space="preserve"> </w:t>
      </w:r>
      <w:r>
        <w:rPr>
          <w:w w:val="105"/>
        </w:rPr>
        <w:t>be</w:t>
      </w:r>
      <w:r>
        <w:rPr>
          <w:spacing w:val="-16"/>
          <w:w w:val="105"/>
        </w:rPr>
        <w:t xml:space="preserve"> </w:t>
      </w:r>
      <w:r>
        <w:rPr>
          <w:w w:val="105"/>
        </w:rPr>
        <w:t>selected</w:t>
      </w:r>
      <w:r>
        <w:rPr>
          <w:spacing w:val="-26"/>
          <w:w w:val="105"/>
        </w:rPr>
        <w:t xml:space="preserve"> </w:t>
      </w:r>
      <w:r>
        <w:rPr>
          <w:w w:val="105"/>
        </w:rPr>
        <w:t>in</w:t>
      </w:r>
      <w:r>
        <w:rPr>
          <w:spacing w:val="-32"/>
          <w:w w:val="105"/>
        </w:rPr>
        <w:t xml:space="preserve"> </w:t>
      </w:r>
      <w:r>
        <w:rPr>
          <w:w w:val="105"/>
        </w:rPr>
        <w:t>consultation</w:t>
      </w:r>
      <w:r>
        <w:rPr>
          <w:spacing w:val="-26"/>
          <w:w w:val="105"/>
        </w:rPr>
        <w:t xml:space="preserve"> </w:t>
      </w:r>
      <w:r>
        <w:rPr>
          <w:w w:val="105"/>
        </w:rPr>
        <w:t>with</w:t>
      </w:r>
      <w:r>
        <w:rPr>
          <w:spacing w:val="-30"/>
          <w:w w:val="105"/>
        </w:rPr>
        <w:t xml:space="preserve"> </w:t>
      </w:r>
      <w:r>
        <w:rPr>
          <w:w w:val="105"/>
        </w:rPr>
        <w:t>an</w:t>
      </w:r>
      <w:r>
        <w:rPr>
          <w:spacing w:val="-31"/>
          <w:w w:val="105"/>
        </w:rPr>
        <w:t xml:space="preserve"> </w:t>
      </w:r>
      <w:r>
        <w:rPr>
          <w:w w:val="105"/>
        </w:rPr>
        <w:t>advisor):</w:t>
      </w:r>
      <w:r>
        <w:rPr>
          <w:spacing w:val="-17"/>
          <w:w w:val="105"/>
        </w:rPr>
        <w:t xml:space="preserve"> </w:t>
      </w:r>
      <w:r>
        <w:rPr>
          <w:w w:val="105"/>
        </w:rPr>
        <w:t>ED</w:t>
      </w:r>
      <w:r>
        <w:rPr>
          <w:spacing w:val="-29"/>
          <w:w w:val="105"/>
        </w:rPr>
        <w:t xml:space="preserve"> </w:t>
      </w:r>
      <w:r>
        <w:rPr>
          <w:w w:val="105"/>
        </w:rPr>
        <w:t>P</w:t>
      </w:r>
      <w:r>
        <w:rPr>
          <w:spacing w:val="-26"/>
          <w:w w:val="105"/>
        </w:rPr>
        <w:t xml:space="preserve"> </w:t>
      </w:r>
      <w:r>
        <w:rPr>
          <w:w w:val="105"/>
        </w:rPr>
        <w:t>510, 519,534,555,604,605,</w:t>
      </w:r>
      <w:r>
        <w:rPr>
          <w:spacing w:val="-11"/>
          <w:w w:val="105"/>
        </w:rPr>
        <w:t xml:space="preserve"> </w:t>
      </w:r>
      <w:r>
        <w:rPr>
          <w:w w:val="105"/>
        </w:rPr>
        <w:t>615, 639, 640, or 696</w:t>
      </w:r>
      <w:r>
        <w:rPr>
          <w:w w:val="105"/>
        </w:rPr>
        <w:t>.</w:t>
      </w:r>
    </w:p>
    <w:p w:rsidR="00452026" w:rsidRDefault="00673387">
      <w:pPr>
        <w:pStyle w:val="Heading1"/>
        <w:spacing w:before="159"/>
        <w:ind w:left="138"/>
      </w:pPr>
      <w:r>
        <w:rPr>
          <w:w w:val="105"/>
        </w:rPr>
        <w:t>Requirements for the Option in Marriage, Family and Child Counseling (MFCC) (code 7-3175)</w:t>
      </w:r>
    </w:p>
    <w:p w:rsidR="00452026" w:rsidRDefault="00673387">
      <w:pPr>
        <w:pStyle w:val="BodyText"/>
        <w:spacing w:before="48" w:line="220" w:lineRule="auto"/>
        <w:ind w:left="142" w:right="260" w:hanging="6"/>
      </w:pPr>
      <w:r>
        <w:t>Students must complete a minimum of 48 units of upper division and graduate courses with a minimum of 36 units in the 500</w:t>
      </w:r>
      <w:r>
        <w:t>/600 level series taken at this University including the following:</w:t>
      </w:r>
    </w:p>
    <w:p w:rsidR="00452026" w:rsidRDefault="00673387">
      <w:pPr>
        <w:pStyle w:val="ListParagraph"/>
        <w:numPr>
          <w:ilvl w:val="0"/>
          <w:numId w:val="1"/>
        </w:numPr>
        <w:tabs>
          <w:tab w:val="left" w:pos="442"/>
        </w:tabs>
        <w:ind w:hanging="300"/>
        <w:rPr>
          <w:sz w:val="19"/>
        </w:rPr>
      </w:pPr>
      <w:r>
        <w:rPr>
          <w:w w:val="105"/>
          <w:sz w:val="19"/>
        </w:rPr>
        <w:t>Degree</w:t>
      </w:r>
      <w:r>
        <w:rPr>
          <w:spacing w:val="-16"/>
          <w:w w:val="105"/>
          <w:sz w:val="19"/>
        </w:rPr>
        <w:t xml:space="preserve"> </w:t>
      </w:r>
      <w:r>
        <w:rPr>
          <w:w w:val="105"/>
          <w:sz w:val="19"/>
        </w:rPr>
        <w:t>Core:</w:t>
      </w:r>
    </w:p>
    <w:p w:rsidR="00452026" w:rsidRDefault="00673387">
      <w:pPr>
        <w:pStyle w:val="ListParagraph"/>
        <w:numPr>
          <w:ilvl w:val="1"/>
          <w:numId w:val="1"/>
        </w:numPr>
        <w:tabs>
          <w:tab w:val="left" w:pos="511"/>
        </w:tabs>
        <w:spacing w:line="202" w:lineRule="exact"/>
        <w:rPr>
          <w:sz w:val="19"/>
        </w:rPr>
      </w:pPr>
      <w:r>
        <w:rPr>
          <w:w w:val="105"/>
          <w:sz w:val="19"/>
        </w:rPr>
        <w:t>AII</w:t>
      </w:r>
      <w:r>
        <w:rPr>
          <w:spacing w:val="-18"/>
          <w:w w:val="105"/>
          <w:sz w:val="19"/>
        </w:rPr>
        <w:t xml:space="preserve"> </w:t>
      </w:r>
      <w:r>
        <w:rPr>
          <w:w w:val="105"/>
          <w:sz w:val="19"/>
        </w:rPr>
        <w:t>of</w:t>
      </w:r>
      <w:r>
        <w:rPr>
          <w:spacing w:val="-9"/>
          <w:w w:val="105"/>
          <w:sz w:val="19"/>
        </w:rPr>
        <w:t xml:space="preserve"> </w:t>
      </w:r>
      <w:r>
        <w:rPr>
          <w:w w:val="105"/>
          <w:sz w:val="19"/>
        </w:rPr>
        <w:t>the</w:t>
      </w:r>
      <w:r>
        <w:rPr>
          <w:spacing w:val="-11"/>
          <w:w w:val="105"/>
          <w:sz w:val="19"/>
        </w:rPr>
        <w:t xml:space="preserve"> </w:t>
      </w:r>
      <w:r>
        <w:rPr>
          <w:w w:val="105"/>
          <w:sz w:val="19"/>
        </w:rPr>
        <w:t>following</w:t>
      </w:r>
      <w:r>
        <w:rPr>
          <w:spacing w:val="-11"/>
          <w:w w:val="105"/>
          <w:sz w:val="19"/>
        </w:rPr>
        <w:t xml:space="preserve"> </w:t>
      </w:r>
      <w:r>
        <w:rPr>
          <w:w w:val="105"/>
          <w:sz w:val="19"/>
        </w:rPr>
        <w:t>12</w:t>
      </w:r>
      <w:r>
        <w:rPr>
          <w:spacing w:val="-22"/>
          <w:w w:val="105"/>
          <w:sz w:val="19"/>
        </w:rPr>
        <w:t xml:space="preserve"> </w:t>
      </w:r>
      <w:r>
        <w:rPr>
          <w:w w:val="105"/>
          <w:sz w:val="19"/>
        </w:rPr>
        <w:t>units:</w:t>
      </w:r>
      <w:r>
        <w:rPr>
          <w:spacing w:val="-7"/>
          <w:w w:val="105"/>
          <w:sz w:val="19"/>
        </w:rPr>
        <w:t xml:space="preserve"> </w:t>
      </w:r>
      <w:r>
        <w:rPr>
          <w:w w:val="105"/>
          <w:sz w:val="19"/>
        </w:rPr>
        <w:t>EDP</w:t>
      </w:r>
      <w:r>
        <w:rPr>
          <w:spacing w:val="28"/>
          <w:w w:val="105"/>
          <w:sz w:val="19"/>
        </w:rPr>
        <w:t xml:space="preserve"> </w:t>
      </w:r>
      <w:r>
        <w:rPr>
          <w:w w:val="105"/>
          <w:sz w:val="19"/>
        </w:rPr>
        <w:t>520,</w:t>
      </w:r>
      <w:r>
        <w:rPr>
          <w:spacing w:val="-9"/>
          <w:w w:val="105"/>
          <w:sz w:val="19"/>
        </w:rPr>
        <w:t xml:space="preserve"> </w:t>
      </w:r>
      <w:r>
        <w:rPr>
          <w:w w:val="105"/>
          <w:sz w:val="19"/>
        </w:rPr>
        <w:t>532,</w:t>
      </w:r>
      <w:r>
        <w:rPr>
          <w:spacing w:val="-9"/>
          <w:w w:val="105"/>
          <w:sz w:val="19"/>
        </w:rPr>
        <w:t xml:space="preserve"> </w:t>
      </w:r>
      <w:r>
        <w:rPr>
          <w:w w:val="105"/>
          <w:sz w:val="19"/>
        </w:rPr>
        <w:t>533,</w:t>
      </w:r>
      <w:r>
        <w:rPr>
          <w:spacing w:val="-11"/>
          <w:w w:val="105"/>
          <w:sz w:val="19"/>
        </w:rPr>
        <w:t xml:space="preserve"> </w:t>
      </w:r>
      <w:r>
        <w:rPr>
          <w:w w:val="105"/>
          <w:sz w:val="19"/>
        </w:rPr>
        <w:t>and</w:t>
      </w:r>
      <w:r>
        <w:rPr>
          <w:spacing w:val="-9"/>
          <w:w w:val="105"/>
          <w:sz w:val="19"/>
        </w:rPr>
        <w:t xml:space="preserve"> </w:t>
      </w:r>
      <w:r>
        <w:rPr>
          <w:w w:val="105"/>
          <w:sz w:val="19"/>
        </w:rPr>
        <w:t>536;</w:t>
      </w:r>
    </w:p>
    <w:p w:rsidR="00452026" w:rsidRDefault="00673387">
      <w:pPr>
        <w:pStyle w:val="ListParagraph"/>
        <w:numPr>
          <w:ilvl w:val="1"/>
          <w:numId w:val="1"/>
        </w:numPr>
        <w:tabs>
          <w:tab w:val="left" w:pos="522"/>
        </w:tabs>
        <w:spacing w:before="6" w:line="220" w:lineRule="auto"/>
        <w:ind w:right="671"/>
        <w:rPr>
          <w:sz w:val="19"/>
        </w:rPr>
      </w:pPr>
      <w:r>
        <w:rPr>
          <w:sz w:val="19"/>
        </w:rPr>
        <w:t xml:space="preserve">One of the following chosen in consultation with a faculty advisor: ED P 695A (2) or 695B (3) and 698 (4) for </w:t>
      </w:r>
      <w:proofErr w:type="gramStart"/>
      <w:r>
        <w:rPr>
          <w:sz w:val="19"/>
        </w:rPr>
        <w:t>thesis</w:t>
      </w:r>
      <w:proofErr w:type="gramEnd"/>
      <w:r>
        <w:rPr>
          <w:sz w:val="19"/>
        </w:rPr>
        <w:t>;</w:t>
      </w:r>
      <w:r>
        <w:rPr>
          <w:spacing w:val="5"/>
          <w:sz w:val="19"/>
        </w:rPr>
        <w:t xml:space="preserve"> </w:t>
      </w:r>
      <w:r>
        <w:rPr>
          <w:sz w:val="19"/>
        </w:rPr>
        <w:t>or</w:t>
      </w:r>
      <w:r>
        <w:rPr>
          <w:spacing w:val="-7"/>
          <w:sz w:val="19"/>
        </w:rPr>
        <w:t xml:space="preserve"> </w:t>
      </w:r>
      <w:r>
        <w:rPr>
          <w:sz w:val="19"/>
        </w:rPr>
        <w:t>ED</w:t>
      </w:r>
      <w:r>
        <w:rPr>
          <w:spacing w:val="-19"/>
          <w:sz w:val="19"/>
        </w:rPr>
        <w:t xml:space="preserve"> </w:t>
      </w:r>
      <w:r>
        <w:rPr>
          <w:sz w:val="19"/>
        </w:rPr>
        <w:t>P</w:t>
      </w:r>
      <w:r>
        <w:rPr>
          <w:spacing w:val="-11"/>
          <w:sz w:val="19"/>
        </w:rPr>
        <w:t xml:space="preserve"> </w:t>
      </w:r>
      <w:r>
        <w:rPr>
          <w:sz w:val="19"/>
        </w:rPr>
        <w:t>695B</w:t>
      </w:r>
      <w:r>
        <w:rPr>
          <w:spacing w:val="-3"/>
          <w:sz w:val="19"/>
        </w:rPr>
        <w:t xml:space="preserve"> </w:t>
      </w:r>
      <w:r>
        <w:rPr>
          <w:sz w:val="19"/>
        </w:rPr>
        <w:t>(3)</w:t>
      </w:r>
      <w:r>
        <w:rPr>
          <w:spacing w:val="-8"/>
          <w:sz w:val="19"/>
        </w:rPr>
        <w:t xml:space="preserve"> </w:t>
      </w:r>
      <w:r>
        <w:rPr>
          <w:sz w:val="19"/>
        </w:rPr>
        <w:t>and</w:t>
      </w:r>
      <w:r>
        <w:rPr>
          <w:spacing w:val="-19"/>
          <w:sz w:val="19"/>
        </w:rPr>
        <w:t xml:space="preserve"> </w:t>
      </w:r>
      <w:r>
        <w:rPr>
          <w:sz w:val="19"/>
        </w:rPr>
        <w:t>written</w:t>
      </w:r>
      <w:r>
        <w:rPr>
          <w:spacing w:val="-6"/>
          <w:sz w:val="19"/>
        </w:rPr>
        <w:t xml:space="preserve"> </w:t>
      </w:r>
      <w:r>
        <w:rPr>
          <w:sz w:val="19"/>
        </w:rPr>
        <w:t>comprehensive</w:t>
      </w:r>
      <w:r>
        <w:rPr>
          <w:spacing w:val="13"/>
          <w:sz w:val="19"/>
        </w:rPr>
        <w:t xml:space="preserve"> </w:t>
      </w:r>
      <w:r>
        <w:rPr>
          <w:sz w:val="19"/>
        </w:rPr>
        <w:t>examination.</w:t>
      </w:r>
    </w:p>
    <w:p w:rsidR="00452026" w:rsidRDefault="00673387">
      <w:pPr>
        <w:pStyle w:val="ListParagraph"/>
        <w:numPr>
          <w:ilvl w:val="0"/>
          <w:numId w:val="1"/>
        </w:numPr>
        <w:tabs>
          <w:tab w:val="left" w:pos="449"/>
        </w:tabs>
        <w:spacing w:line="191" w:lineRule="exact"/>
        <w:ind w:left="448" w:hanging="307"/>
        <w:rPr>
          <w:sz w:val="19"/>
        </w:rPr>
      </w:pPr>
      <w:r>
        <w:rPr>
          <w:w w:val="105"/>
          <w:sz w:val="19"/>
        </w:rPr>
        <w:t>MFCC Option</w:t>
      </w:r>
      <w:r>
        <w:rPr>
          <w:spacing w:val="-28"/>
          <w:w w:val="105"/>
          <w:sz w:val="19"/>
        </w:rPr>
        <w:t xml:space="preserve"> </w:t>
      </w:r>
      <w:r>
        <w:rPr>
          <w:w w:val="105"/>
          <w:sz w:val="19"/>
        </w:rPr>
        <w:t>Requirements:</w:t>
      </w:r>
    </w:p>
    <w:p w:rsidR="00452026" w:rsidRDefault="00673387">
      <w:pPr>
        <w:pStyle w:val="BodyText"/>
        <w:spacing w:line="202" w:lineRule="exact"/>
        <w:ind w:left="292"/>
      </w:pPr>
      <w:r>
        <w:rPr>
          <w:w w:val="105"/>
        </w:rPr>
        <w:t xml:space="preserve">(1) All of the following: EDP 510, 511, 512, 541D, 543, </w:t>
      </w:r>
      <w:r>
        <w:rPr>
          <w:w w:val="105"/>
        </w:rPr>
        <w:t>545D, 555,560, 604, 633 and 634;</w:t>
      </w:r>
    </w:p>
    <w:p w:rsidR="00452026" w:rsidRDefault="00673387">
      <w:pPr>
        <w:pStyle w:val="BodyText"/>
        <w:spacing w:line="210" w:lineRule="exact"/>
        <w:ind w:left="285"/>
      </w:pPr>
      <w:r>
        <w:t>(2) An elective course chosen in consultation with an advisor to total 48 units.</w:t>
      </w:r>
    </w:p>
    <w:p w:rsidR="00452026" w:rsidRDefault="00452026">
      <w:pPr>
        <w:pStyle w:val="BodyText"/>
        <w:rPr>
          <w:sz w:val="20"/>
        </w:rPr>
      </w:pPr>
    </w:p>
    <w:p w:rsidR="00452026" w:rsidRDefault="00452026">
      <w:pPr>
        <w:pStyle w:val="BodyText"/>
        <w:rPr>
          <w:sz w:val="20"/>
        </w:rPr>
      </w:pPr>
    </w:p>
    <w:p w:rsidR="00452026" w:rsidRDefault="00452026">
      <w:pPr>
        <w:pStyle w:val="BodyText"/>
        <w:rPr>
          <w:sz w:val="20"/>
        </w:rPr>
      </w:pPr>
    </w:p>
    <w:p w:rsidR="00452026" w:rsidRDefault="00673387">
      <w:pPr>
        <w:pStyle w:val="BodyText"/>
        <w:rPr>
          <w:sz w:val="13"/>
        </w:rPr>
      </w:pPr>
      <w:r>
        <w:pict>
          <v:line id="_x0000_s1026" style="position:absolute;z-index:251657216;mso-wrap-distance-left:0;mso-wrap-distance-right:0;mso-position-horizontal-relative:page" from="67.85pt,10.4pt" to="577.35pt,10.4pt" strokeweight=".63617mm">
            <w10:wrap type="topAndBottom" anchorx="page"/>
          </v:line>
        </w:pict>
      </w:r>
    </w:p>
    <w:p w:rsidR="00452026" w:rsidRDefault="00673387">
      <w:pPr>
        <w:pStyle w:val="BodyText"/>
        <w:ind w:left="130"/>
      </w:pPr>
      <w:r>
        <w:rPr>
          <w:w w:val="105"/>
        </w:rPr>
        <w:t>Effective Spring 1989</w:t>
      </w:r>
    </w:p>
    <w:sectPr w:rsidR="00452026">
      <w:type w:val="continuous"/>
      <w:pgSz w:w="12220" w:h="15670"/>
      <w:pgMar w:top="1420" w:right="56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B30D5"/>
    <w:multiLevelType w:val="hybridMultilevel"/>
    <w:tmpl w:val="1AB61AC0"/>
    <w:lvl w:ilvl="0" w:tplc="A6F8EA00">
      <w:start w:val="1"/>
      <w:numFmt w:val="decimal"/>
      <w:lvlText w:val="(%1)"/>
      <w:lvlJc w:val="left"/>
      <w:pPr>
        <w:ind w:left="434" w:hanging="286"/>
        <w:jc w:val="left"/>
      </w:pPr>
      <w:rPr>
        <w:rFonts w:ascii="Arial" w:eastAsia="Arial" w:hAnsi="Arial" w:cs="Arial" w:hint="default"/>
        <w:spacing w:val="-1"/>
        <w:w w:val="102"/>
        <w:sz w:val="19"/>
        <w:szCs w:val="19"/>
      </w:rPr>
    </w:lvl>
    <w:lvl w:ilvl="1" w:tplc="9932ADB8">
      <w:start w:val="1"/>
      <w:numFmt w:val="upperLetter"/>
      <w:lvlText w:val="(%2)"/>
      <w:lvlJc w:val="left"/>
      <w:pPr>
        <w:ind w:left="292" w:hanging="308"/>
        <w:jc w:val="left"/>
      </w:pPr>
      <w:rPr>
        <w:rFonts w:ascii="Arial" w:eastAsia="Arial" w:hAnsi="Arial" w:cs="Arial" w:hint="default"/>
        <w:spacing w:val="-1"/>
        <w:w w:val="99"/>
        <w:sz w:val="19"/>
        <w:szCs w:val="19"/>
      </w:rPr>
    </w:lvl>
    <w:lvl w:ilvl="2" w:tplc="FCBC728E">
      <w:start w:val="1"/>
      <w:numFmt w:val="decimal"/>
      <w:lvlText w:val="(%3)"/>
      <w:lvlJc w:val="left"/>
      <w:pPr>
        <w:ind w:left="503" w:hanging="225"/>
        <w:jc w:val="left"/>
      </w:pPr>
      <w:rPr>
        <w:rFonts w:ascii="Arial" w:eastAsia="Arial" w:hAnsi="Arial" w:cs="Arial" w:hint="default"/>
        <w:spacing w:val="-1"/>
        <w:w w:val="96"/>
        <w:sz w:val="17"/>
        <w:szCs w:val="17"/>
      </w:rPr>
    </w:lvl>
    <w:lvl w:ilvl="3" w:tplc="0C00C0DA">
      <w:numFmt w:val="bullet"/>
      <w:lvlText w:val="•"/>
      <w:lvlJc w:val="left"/>
      <w:pPr>
        <w:ind w:left="1738" w:hanging="225"/>
      </w:pPr>
      <w:rPr>
        <w:rFonts w:hint="default"/>
      </w:rPr>
    </w:lvl>
    <w:lvl w:ilvl="4" w:tplc="0B8A1C26">
      <w:numFmt w:val="bullet"/>
      <w:lvlText w:val="•"/>
      <w:lvlJc w:val="left"/>
      <w:pPr>
        <w:ind w:left="2977" w:hanging="225"/>
      </w:pPr>
      <w:rPr>
        <w:rFonts w:hint="default"/>
      </w:rPr>
    </w:lvl>
    <w:lvl w:ilvl="5" w:tplc="3BF8F288">
      <w:numFmt w:val="bullet"/>
      <w:lvlText w:val="•"/>
      <w:lvlJc w:val="left"/>
      <w:pPr>
        <w:ind w:left="4216" w:hanging="225"/>
      </w:pPr>
      <w:rPr>
        <w:rFonts w:hint="default"/>
      </w:rPr>
    </w:lvl>
    <w:lvl w:ilvl="6" w:tplc="0128B358">
      <w:numFmt w:val="bullet"/>
      <w:lvlText w:val="•"/>
      <w:lvlJc w:val="left"/>
      <w:pPr>
        <w:ind w:left="5455" w:hanging="225"/>
      </w:pPr>
      <w:rPr>
        <w:rFonts w:hint="default"/>
      </w:rPr>
    </w:lvl>
    <w:lvl w:ilvl="7" w:tplc="D21E7F1A">
      <w:numFmt w:val="bullet"/>
      <w:lvlText w:val="•"/>
      <w:lvlJc w:val="left"/>
      <w:pPr>
        <w:ind w:left="6694" w:hanging="225"/>
      </w:pPr>
      <w:rPr>
        <w:rFonts w:hint="default"/>
      </w:rPr>
    </w:lvl>
    <w:lvl w:ilvl="8" w:tplc="A838D954">
      <w:numFmt w:val="bullet"/>
      <w:lvlText w:val="•"/>
      <w:lvlJc w:val="left"/>
      <w:pPr>
        <w:ind w:left="7933" w:hanging="225"/>
      </w:pPr>
      <w:rPr>
        <w:rFonts w:hint="default"/>
      </w:rPr>
    </w:lvl>
  </w:abstractNum>
  <w:abstractNum w:abstractNumId="1" w15:restartNumberingAfterBreak="0">
    <w:nsid w:val="36E40216"/>
    <w:multiLevelType w:val="hybridMultilevel"/>
    <w:tmpl w:val="7F186466"/>
    <w:lvl w:ilvl="0" w:tplc="32203E72">
      <w:start w:val="1"/>
      <w:numFmt w:val="upperLetter"/>
      <w:lvlText w:val="(%1)"/>
      <w:lvlJc w:val="left"/>
      <w:pPr>
        <w:ind w:left="441" w:hanging="301"/>
        <w:jc w:val="left"/>
      </w:pPr>
      <w:rPr>
        <w:rFonts w:ascii="Arial" w:eastAsia="Arial" w:hAnsi="Arial" w:cs="Arial" w:hint="default"/>
        <w:spacing w:val="-1"/>
        <w:w w:val="99"/>
        <w:sz w:val="19"/>
        <w:szCs w:val="19"/>
      </w:rPr>
    </w:lvl>
    <w:lvl w:ilvl="1" w:tplc="1414A9C0">
      <w:start w:val="1"/>
      <w:numFmt w:val="decimal"/>
      <w:lvlText w:val="(%2)"/>
      <w:lvlJc w:val="left"/>
      <w:pPr>
        <w:ind w:left="510" w:hanging="225"/>
        <w:jc w:val="left"/>
      </w:pPr>
      <w:rPr>
        <w:rFonts w:ascii="Arial" w:eastAsia="Arial" w:hAnsi="Arial" w:cs="Arial" w:hint="default"/>
        <w:spacing w:val="-1"/>
        <w:w w:val="96"/>
        <w:sz w:val="17"/>
        <w:szCs w:val="17"/>
      </w:rPr>
    </w:lvl>
    <w:lvl w:ilvl="2" w:tplc="9432CE18">
      <w:numFmt w:val="bullet"/>
      <w:lvlText w:val="•"/>
      <w:lvlJc w:val="left"/>
      <w:pPr>
        <w:ind w:left="1619" w:hanging="225"/>
      </w:pPr>
      <w:rPr>
        <w:rFonts w:hint="default"/>
      </w:rPr>
    </w:lvl>
    <w:lvl w:ilvl="3" w:tplc="E368897C">
      <w:numFmt w:val="bullet"/>
      <w:lvlText w:val="•"/>
      <w:lvlJc w:val="left"/>
      <w:pPr>
        <w:ind w:left="2718" w:hanging="225"/>
      </w:pPr>
      <w:rPr>
        <w:rFonts w:hint="default"/>
      </w:rPr>
    </w:lvl>
    <w:lvl w:ilvl="4" w:tplc="EC4A5372">
      <w:numFmt w:val="bullet"/>
      <w:lvlText w:val="•"/>
      <w:lvlJc w:val="left"/>
      <w:pPr>
        <w:ind w:left="3817" w:hanging="225"/>
      </w:pPr>
      <w:rPr>
        <w:rFonts w:hint="default"/>
      </w:rPr>
    </w:lvl>
    <w:lvl w:ilvl="5" w:tplc="D62AA1EC">
      <w:numFmt w:val="bullet"/>
      <w:lvlText w:val="•"/>
      <w:lvlJc w:val="left"/>
      <w:pPr>
        <w:ind w:left="4916" w:hanging="225"/>
      </w:pPr>
      <w:rPr>
        <w:rFonts w:hint="default"/>
      </w:rPr>
    </w:lvl>
    <w:lvl w:ilvl="6" w:tplc="502650AE">
      <w:numFmt w:val="bullet"/>
      <w:lvlText w:val="•"/>
      <w:lvlJc w:val="left"/>
      <w:pPr>
        <w:ind w:left="6015" w:hanging="225"/>
      </w:pPr>
      <w:rPr>
        <w:rFonts w:hint="default"/>
      </w:rPr>
    </w:lvl>
    <w:lvl w:ilvl="7" w:tplc="B184860A">
      <w:numFmt w:val="bullet"/>
      <w:lvlText w:val="•"/>
      <w:lvlJc w:val="left"/>
      <w:pPr>
        <w:ind w:left="7114" w:hanging="225"/>
      </w:pPr>
      <w:rPr>
        <w:rFonts w:hint="default"/>
      </w:rPr>
    </w:lvl>
    <w:lvl w:ilvl="8" w:tplc="8DD6BC60">
      <w:numFmt w:val="bullet"/>
      <w:lvlText w:val="•"/>
      <w:lvlJc w:val="left"/>
      <w:pPr>
        <w:ind w:left="8213" w:hanging="2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52026"/>
    <w:rsid w:val="00452026"/>
    <w:rsid w:val="0067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E1EAEB"/>
  <w15:docId w15:val="{4055389E-5AD0-496E-A684-E1EEA4E5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198" w:lineRule="exact"/>
      <w:ind w:left="292" w:hanging="2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Company>CSU Long Beach</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2018-02-22T21:27:00Z</dcterms:created>
  <dcterms:modified xsi:type="dcterms:W3CDTF">2018-02-22T21:28:00Z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421-Academic Senate</vt:lpwstr>
  </property>
  <property fmtid="{D5CDD505-2E9C-101B-9397-08002B2CF9AE}" pid="4" name="LastSaved">
    <vt:filetime>2017-02-14T00:00:00Z</vt:filetime>
  </property>
</Properties>
</file>