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tblCellMar>
          <w:top w:w="150" w:type="dxa"/>
          <w:left w:w="150" w:type="dxa"/>
          <w:bottom w:w="150" w:type="dxa"/>
          <w:right w:w="150" w:type="dxa"/>
        </w:tblCellMar>
        <w:tblLook w:val="04A0" w:firstRow="1" w:lastRow="0" w:firstColumn="1" w:lastColumn="0" w:noHBand="0" w:noVBand="1"/>
      </w:tblPr>
      <w:tblGrid>
        <w:gridCol w:w="9740"/>
      </w:tblGrid>
      <w:tr w:rsidR="00DD341D" w:rsidRPr="00DD341D" w:rsidTr="00DD341D">
        <w:trPr>
          <w:tblCellSpacing w:w="30" w:type="dxa"/>
        </w:trPr>
        <w:tc>
          <w:tcPr>
            <w:tcW w:w="0" w:type="auto"/>
            <w:hideMark/>
          </w:tcPr>
          <w:p w:rsidR="00DD341D" w:rsidRPr="00DD341D" w:rsidRDefault="00DD341D" w:rsidP="00DD341D">
            <w:pPr>
              <w:widowControl/>
              <w:autoSpaceDE/>
              <w:autoSpaceDN/>
              <w:jc w:val="center"/>
              <w:rPr>
                <w:rFonts w:asciiTheme="minorHAnsi" w:hAnsiTheme="minorHAnsi" w:cstheme="minorHAnsi"/>
                <w:color w:val="333333"/>
                <w:sz w:val="24"/>
                <w:szCs w:val="24"/>
              </w:rPr>
            </w:pPr>
            <w:r w:rsidRPr="00DD341D">
              <w:rPr>
                <w:rFonts w:asciiTheme="minorHAnsi" w:hAnsiTheme="minorHAnsi" w:cstheme="minorHAnsi"/>
                <w:b/>
                <w:bCs/>
                <w:color w:val="333333"/>
                <w:sz w:val="24"/>
                <w:szCs w:val="24"/>
              </w:rPr>
              <w:t>California State University, Long Beach </w:t>
            </w:r>
            <w:r w:rsidRPr="00DD341D">
              <w:rPr>
                <w:rFonts w:asciiTheme="minorHAnsi" w:hAnsiTheme="minorHAnsi" w:cstheme="minorHAnsi"/>
                <w:b/>
                <w:bCs/>
                <w:color w:val="333333"/>
                <w:sz w:val="24"/>
                <w:szCs w:val="24"/>
              </w:rPr>
              <w:br/>
            </w:r>
            <w:r w:rsidRPr="00DD341D">
              <w:rPr>
                <w:rFonts w:asciiTheme="minorHAnsi" w:hAnsiTheme="minorHAnsi" w:cstheme="minorHAnsi"/>
                <w:b/>
                <w:bCs/>
                <w:color w:val="333333"/>
                <w:sz w:val="24"/>
                <w:szCs w:val="24"/>
              </w:rPr>
              <w:br/>
              <w:t>Policy Statement 86-01 </w:t>
            </w:r>
            <w:r w:rsidRPr="00DD341D">
              <w:rPr>
                <w:rFonts w:asciiTheme="minorHAnsi" w:hAnsiTheme="minorHAnsi" w:cstheme="minorHAnsi"/>
                <w:b/>
                <w:bCs/>
                <w:color w:val="333333"/>
                <w:sz w:val="24"/>
                <w:szCs w:val="24"/>
              </w:rPr>
              <w:br/>
            </w:r>
            <w:r w:rsidRPr="00DD341D">
              <w:rPr>
                <w:rFonts w:asciiTheme="minorHAnsi" w:hAnsiTheme="minorHAnsi" w:cstheme="minorHAnsi"/>
                <w:b/>
                <w:bCs/>
                <w:color w:val="333333"/>
                <w:sz w:val="24"/>
                <w:szCs w:val="24"/>
              </w:rPr>
              <w:br/>
              <w:t>January 27, 1986 </w:t>
            </w:r>
            <w:r w:rsidRPr="00DD341D">
              <w:rPr>
                <w:rFonts w:asciiTheme="minorHAnsi" w:hAnsiTheme="minorHAnsi" w:cstheme="minorHAnsi"/>
                <w:b/>
                <w:bCs/>
                <w:color w:val="333333"/>
                <w:sz w:val="24"/>
                <w:szCs w:val="24"/>
              </w:rPr>
              <w:br/>
            </w:r>
            <w:r w:rsidRPr="00DD341D">
              <w:rPr>
                <w:rFonts w:asciiTheme="minorHAnsi" w:hAnsiTheme="minorHAnsi" w:cstheme="minorHAnsi"/>
                <w:b/>
                <w:bCs/>
                <w:color w:val="333333"/>
                <w:sz w:val="24"/>
                <w:szCs w:val="24"/>
              </w:rPr>
              <w:br/>
              <w:t>This academic program was recommended by the Academic Senate in its meeting of October 3, 1985, received the concurrence of the President on October 10, 1985, and was approved by the Chancellor on January 21, 1986. </w:t>
            </w:r>
            <w:r w:rsidRPr="00DD341D">
              <w:rPr>
                <w:rFonts w:asciiTheme="minorHAnsi" w:hAnsiTheme="minorHAnsi" w:cstheme="minorHAnsi"/>
                <w:b/>
                <w:bCs/>
                <w:color w:val="333333"/>
                <w:sz w:val="24"/>
                <w:szCs w:val="24"/>
              </w:rPr>
              <w:br/>
            </w:r>
            <w:r w:rsidRPr="00DD341D">
              <w:rPr>
                <w:rFonts w:asciiTheme="minorHAnsi" w:hAnsiTheme="minorHAnsi" w:cstheme="minorHAnsi"/>
                <w:b/>
                <w:bCs/>
                <w:color w:val="333333"/>
                <w:sz w:val="24"/>
                <w:szCs w:val="24"/>
              </w:rPr>
              <w:br/>
              <w:t>Subject: BACHELOR ARTS IN THEATRE ARTS GENERAL OPTION (code 2- 5844)</w:t>
            </w:r>
          </w:p>
          <w:p w:rsidR="00DD341D" w:rsidRDefault="00DD341D" w:rsidP="00DD341D">
            <w:pPr>
              <w:widowControl/>
              <w:autoSpaceDE/>
              <w:autoSpaceDN/>
              <w:spacing w:before="100" w:beforeAutospacing="1" w:after="100" w:afterAutospacing="1"/>
              <w:rPr>
                <w:rFonts w:asciiTheme="minorHAnsi" w:hAnsiTheme="minorHAnsi" w:cstheme="minorHAnsi"/>
                <w:color w:val="333333"/>
                <w:sz w:val="24"/>
                <w:szCs w:val="24"/>
              </w:rPr>
            </w:pPr>
            <w:r w:rsidRPr="00DD341D">
              <w:rPr>
                <w:rFonts w:asciiTheme="minorHAnsi" w:hAnsiTheme="minorHAnsi" w:cstheme="minorHAnsi"/>
                <w:color w:val="333333"/>
                <w:sz w:val="24"/>
                <w:szCs w:val="24"/>
              </w:rPr>
              <w:t>The General Option in the Bachelor of Arts in Theatre Arts provides the opportunity for the student to gain a broad exposure to the discipline. The curriculum requires study in Acting, Technical and Design crafts, the History, Literature and Criticism of Theatre, and in general Directing as well as Children's Theatre. </w:t>
            </w:r>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u w:val="single"/>
              </w:rPr>
              <w:t>Course Requirements:</w:t>
            </w:r>
            <w:r w:rsidRPr="00DD341D">
              <w:rPr>
                <w:rFonts w:asciiTheme="minorHAnsi" w:hAnsiTheme="minorHAnsi" w:cstheme="minorHAnsi"/>
                <w:color w:val="333333"/>
                <w:sz w:val="24"/>
                <w:szCs w:val="24"/>
              </w:rPr>
              <w:t> </w:t>
            </w:r>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rPr>
              <w:br/>
              <w:t>Core: </w:t>
            </w:r>
          </w:p>
          <w:p w:rsidR="00DD341D" w:rsidRDefault="00DD341D" w:rsidP="00DD341D">
            <w:pPr>
              <w:widowControl/>
              <w:autoSpaceDE/>
              <w:autoSpaceDN/>
              <w:spacing w:before="100" w:beforeAutospacing="1" w:after="100" w:afterAutospacing="1"/>
              <w:ind w:left="720"/>
              <w:rPr>
                <w:rFonts w:asciiTheme="minorHAnsi" w:hAnsiTheme="minorHAnsi" w:cstheme="minorHAnsi"/>
                <w:color w:val="333333"/>
                <w:sz w:val="24"/>
                <w:szCs w:val="24"/>
              </w:rPr>
            </w:pPr>
            <w:r w:rsidRPr="00DD341D">
              <w:rPr>
                <w:rFonts w:asciiTheme="minorHAnsi" w:hAnsiTheme="minorHAnsi" w:cstheme="minorHAnsi"/>
                <w:color w:val="333333"/>
                <w:sz w:val="24"/>
                <w:szCs w:val="24"/>
              </w:rPr>
              <w:br/>
              <w:t>Lower Division (14 units): THEA 100, 114A, 142, 144, 146, 148; </w:t>
            </w:r>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rPr>
              <w:br/>
              <w:t xml:space="preserve">Upper Division (21 units): </w:t>
            </w:r>
            <w:r>
              <w:rPr>
                <w:rFonts w:asciiTheme="minorHAnsi" w:hAnsiTheme="minorHAnsi" w:cstheme="minorHAnsi"/>
                <w:color w:val="333333"/>
                <w:sz w:val="24"/>
                <w:szCs w:val="24"/>
              </w:rPr>
              <w:t>THEA 321, 322, 346, 374, 476. </w:t>
            </w:r>
          </w:p>
          <w:p w:rsidR="00DD341D" w:rsidRDefault="00DD341D" w:rsidP="00DD341D">
            <w:pPr>
              <w:widowControl/>
              <w:autoSpaceDE/>
              <w:autoSpaceDN/>
              <w:spacing w:before="100" w:beforeAutospacing="1" w:after="100" w:afterAutospacing="1"/>
              <w:rPr>
                <w:rFonts w:asciiTheme="minorHAnsi" w:hAnsiTheme="minorHAnsi" w:cstheme="minorHAnsi"/>
                <w:color w:val="333333"/>
                <w:sz w:val="24"/>
                <w:szCs w:val="24"/>
              </w:rPr>
            </w:pPr>
            <w:r w:rsidRPr="00DD341D">
              <w:rPr>
                <w:rFonts w:asciiTheme="minorHAnsi" w:hAnsiTheme="minorHAnsi" w:cstheme="minorHAnsi"/>
                <w:color w:val="333333"/>
                <w:sz w:val="24"/>
                <w:szCs w:val="24"/>
              </w:rPr>
              <w:t>Option IV -- Theatre Arts - General: </w:t>
            </w:r>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rPr>
              <w:br/>
              <w:t>Choose six units in each of the following four categories for a total of twenty-four units: </w:t>
            </w:r>
          </w:p>
          <w:p w:rsidR="00DD341D" w:rsidRDefault="00DD341D" w:rsidP="00DD341D">
            <w:pPr>
              <w:widowControl/>
              <w:autoSpaceDE/>
              <w:autoSpaceDN/>
              <w:spacing w:before="100" w:beforeAutospacing="1" w:after="100" w:afterAutospacing="1"/>
              <w:ind w:left="720"/>
              <w:rPr>
                <w:rFonts w:asciiTheme="minorHAnsi" w:hAnsiTheme="minorHAnsi" w:cstheme="minorHAnsi"/>
                <w:color w:val="333333"/>
                <w:sz w:val="24"/>
                <w:szCs w:val="24"/>
              </w:rPr>
            </w:pPr>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rPr>
              <w:br/>
              <w:t>(A) Acting: THEA 112, 114B, 214, 216, 262, 331, 352; </w:t>
            </w:r>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rPr>
              <w:br/>
              <w:t>(B) Tech/Design: THEA 341, 342, 385, 444, 446, 448; </w:t>
            </w:r>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rPr>
              <w:br/>
              <w:t>(C) History/Literature/Criticism: THEA 313, 324IC, 325IC or 326IC, 353, 380, 426; </w:t>
            </w:r>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rPr>
              <w:br/>
              <w:t>(D) Directing/</w:t>
            </w:r>
            <w:proofErr w:type="spellStart"/>
            <w:r w:rsidRPr="00DD341D">
              <w:rPr>
                <w:rFonts w:asciiTheme="minorHAnsi" w:hAnsiTheme="minorHAnsi" w:cstheme="minorHAnsi"/>
                <w:color w:val="333333"/>
                <w:sz w:val="24"/>
                <w:szCs w:val="24"/>
              </w:rPr>
              <w:t>Childrens</w:t>
            </w:r>
            <w:proofErr w:type="spellEnd"/>
            <w:r w:rsidRPr="00DD341D">
              <w:rPr>
                <w:rFonts w:asciiTheme="minorHAnsi" w:hAnsiTheme="minorHAnsi" w:cstheme="minorHAnsi"/>
                <w:color w:val="333333"/>
                <w:sz w:val="24"/>
                <w:szCs w:val="24"/>
              </w:rPr>
              <w:t xml:space="preserve"> Theatre: THEA 356, 358, 375, 431, 452, 474. </w:t>
            </w:r>
          </w:p>
          <w:p w:rsidR="00DD341D" w:rsidRPr="00DD341D" w:rsidRDefault="00DD341D" w:rsidP="00DD341D">
            <w:pPr>
              <w:widowControl/>
              <w:autoSpaceDE/>
              <w:autoSpaceDN/>
              <w:spacing w:before="100" w:beforeAutospacing="1" w:after="100" w:afterAutospacing="1"/>
              <w:rPr>
                <w:rFonts w:asciiTheme="minorHAnsi" w:hAnsiTheme="minorHAnsi" w:cstheme="minorHAnsi"/>
                <w:color w:val="333333"/>
                <w:sz w:val="24"/>
                <w:szCs w:val="24"/>
              </w:rPr>
            </w:pPr>
            <w:bookmarkStart w:id="0" w:name="_GoBack"/>
            <w:bookmarkEnd w:id="0"/>
            <w:r w:rsidRPr="00DD341D">
              <w:rPr>
                <w:rFonts w:asciiTheme="minorHAnsi" w:hAnsiTheme="minorHAnsi" w:cstheme="minorHAnsi"/>
                <w:color w:val="333333"/>
                <w:sz w:val="24"/>
                <w:szCs w:val="24"/>
              </w:rPr>
              <w:br/>
            </w:r>
            <w:r w:rsidRPr="00DD341D">
              <w:rPr>
                <w:rFonts w:asciiTheme="minorHAnsi" w:hAnsiTheme="minorHAnsi" w:cstheme="minorHAnsi"/>
                <w:color w:val="333333"/>
                <w:sz w:val="24"/>
                <w:szCs w:val="24"/>
              </w:rPr>
              <w:br/>
              <w:t>EFFECTIVE: Fall 1986 </w:t>
            </w:r>
          </w:p>
        </w:tc>
      </w:tr>
    </w:tbl>
    <w:p w:rsidR="00DD341D" w:rsidRPr="00DD341D" w:rsidRDefault="00DD341D" w:rsidP="00DD341D">
      <w:pPr>
        <w:widowControl/>
        <w:autoSpaceDE/>
        <w:autoSpaceDN/>
        <w:rPr>
          <w:rFonts w:asciiTheme="minorHAnsi" w:hAnsiTheme="minorHAnsi" w:cstheme="minorHAnsi"/>
          <w:vanish/>
          <w:sz w:val="24"/>
          <w:szCs w:val="24"/>
        </w:rPr>
      </w:pPr>
    </w:p>
    <w:p w:rsidR="00EA4B4F" w:rsidRPr="00DD341D" w:rsidRDefault="00EA4B4F" w:rsidP="00DD341D">
      <w:pPr>
        <w:rPr>
          <w:rFonts w:asciiTheme="minorHAnsi" w:hAnsiTheme="minorHAnsi" w:cstheme="minorHAnsi"/>
          <w:sz w:val="24"/>
          <w:szCs w:val="24"/>
        </w:rPr>
      </w:pPr>
    </w:p>
    <w:sectPr w:rsidR="00EA4B4F" w:rsidRPr="00DD341D">
      <w:type w:val="continuous"/>
      <w:pgSz w:w="12220" w:h="15670"/>
      <w:pgMar w:top="440" w:right="15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31924"/>
    <w:multiLevelType w:val="hybridMultilevel"/>
    <w:tmpl w:val="65C8479C"/>
    <w:lvl w:ilvl="0" w:tplc="81DC7360">
      <w:start w:val="3"/>
      <w:numFmt w:val="upperLetter"/>
      <w:lvlText w:val="(%1)"/>
      <w:lvlJc w:val="left"/>
      <w:pPr>
        <w:ind w:left="1245" w:hanging="467"/>
        <w:jc w:val="left"/>
      </w:pPr>
      <w:rPr>
        <w:rFonts w:ascii="Times New Roman" w:eastAsia="Times New Roman" w:hAnsi="Times New Roman" w:cs="Times New Roman" w:hint="default"/>
        <w:spacing w:val="-1"/>
        <w:w w:val="129"/>
        <w:sz w:val="20"/>
        <w:szCs w:val="20"/>
      </w:rPr>
    </w:lvl>
    <w:lvl w:ilvl="1" w:tplc="A162A784">
      <w:numFmt w:val="bullet"/>
      <w:lvlText w:val="•"/>
      <w:lvlJc w:val="left"/>
      <w:pPr>
        <w:ind w:left="2047" w:hanging="467"/>
      </w:pPr>
      <w:rPr>
        <w:rFonts w:hint="default"/>
      </w:rPr>
    </w:lvl>
    <w:lvl w:ilvl="2" w:tplc="F8384374">
      <w:numFmt w:val="bullet"/>
      <w:lvlText w:val="•"/>
      <w:lvlJc w:val="left"/>
      <w:pPr>
        <w:ind w:left="2854" w:hanging="467"/>
      </w:pPr>
      <w:rPr>
        <w:rFonts w:hint="default"/>
      </w:rPr>
    </w:lvl>
    <w:lvl w:ilvl="3" w:tplc="1C86B1DC">
      <w:numFmt w:val="bullet"/>
      <w:lvlText w:val="•"/>
      <w:lvlJc w:val="left"/>
      <w:pPr>
        <w:ind w:left="3661" w:hanging="467"/>
      </w:pPr>
      <w:rPr>
        <w:rFonts w:hint="default"/>
      </w:rPr>
    </w:lvl>
    <w:lvl w:ilvl="4" w:tplc="C136C56A">
      <w:numFmt w:val="bullet"/>
      <w:lvlText w:val="•"/>
      <w:lvlJc w:val="left"/>
      <w:pPr>
        <w:ind w:left="4468" w:hanging="467"/>
      </w:pPr>
      <w:rPr>
        <w:rFonts w:hint="default"/>
      </w:rPr>
    </w:lvl>
    <w:lvl w:ilvl="5" w:tplc="1B32C4B4">
      <w:numFmt w:val="bullet"/>
      <w:lvlText w:val="•"/>
      <w:lvlJc w:val="left"/>
      <w:pPr>
        <w:ind w:left="5275" w:hanging="467"/>
      </w:pPr>
      <w:rPr>
        <w:rFonts w:hint="default"/>
      </w:rPr>
    </w:lvl>
    <w:lvl w:ilvl="6" w:tplc="A824DD3A">
      <w:numFmt w:val="bullet"/>
      <w:lvlText w:val="•"/>
      <w:lvlJc w:val="left"/>
      <w:pPr>
        <w:ind w:left="6082" w:hanging="467"/>
      </w:pPr>
      <w:rPr>
        <w:rFonts w:hint="default"/>
      </w:rPr>
    </w:lvl>
    <w:lvl w:ilvl="7" w:tplc="B55C0176">
      <w:numFmt w:val="bullet"/>
      <w:lvlText w:val="•"/>
      <w:lvlJc w:val="left"/>
      <w:pPr>
        <w:ind w:left="6889" w:hanging="467"/>
      </w:pPr>
      <w:rPr>
        <w:rFonts w:hint="default"/>
      </w:rPr>
    </w:lvl>
    <w:lvl w:ilvl="8" w:tplc="85CC484E">
      <w:numFmt w:val="bullet"/>
      <w:lvlText w:val="•"/>
      <w:lvlJc w:val="left"/>
      <w:pPr>
        <w:ind w:left="7696" w:hanging="4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A4B4F"/>
    <w:rsid w:val="00DD341D"/>
    <w:rsid w:val="00EA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42B8"/>
  <w15:docId w15:val="{02CBE142-BA3E-4B89-AAFF-906F6E8C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45" w:hanging="467"/>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DD341D"/>
    <w:rPr>
      <w:b/>
      <w:bCs/>
    </w:rPr>
  </w:style>
  <w:style w:type="paragraph" w:styleId="NormalWeb">
    <w:name w:val="Normal (Web)"/>
    <w:basedOn w:val="Normal"/>
    <w:uiPriority w:val="99"/>
    <w:semiHidden/>
    <w:unhideWhenUsed/>
    <w:rsid w:val="00DD341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9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Company>CSU Long Beach</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2018-03-01T00:16:00Z</dcterms:created>
  <dcterms:modified xsi:type="dcterms:W3CDTF">2018-03-01T00:19:00Z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421-Academic Senate</vt:lpwstr>
  </property>
  <property fmtid="{D5CDD505-2E9C-101B-9397-08002B2CF9AE}" pid="4" name="LastSaved">
    <vt:filetime>2017-02-14T00:00:00Z</vt:filetime>
  </property>
</Properties>
</file>