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C2" w:rsidRDefault="0007022A">
      <w:pPr>
        <w:pStyle w:val="BodyText"/>
        <w:spacing w:before="79" w:line="504" w:lineRule="auto"/>
        <w:ind w:left="3395" w:right="2816" w:hanging="1579"/>
      </w:pPr>
      <w:r>
        <w:t>CALIFORNIA STATE UNIVERSITY, LON</w:t>
      </w:r>
      <w:r>
        <w:t>G BEACH POLICY STATEMENT</w:t>
      </w:r>
    </w:p>
    <w:p w:rsidR="00DE4BC2" w:rsidRDefault="00DE4BC2">
      <w:pPr>
        <w:pStyle w:val="BodyText"/>
        <w:spacing w:before="10"/>
        <w:rPr>
          <w:sz w:val="17"/>
        </w:rPr>
      </w:pPr>
    </w:p>
    <w:p w:rsidR="00DE4BC2" w:rsidRDefault="0007022A">
      <w:pPr>
        <w:pStyle w:val="BodyText"/>
        <w:spacing w:before="91"/>
        <w:ind w:right="921"/>
        <w:jc w:val="right"/>
      </w:pPr>
      <w:r>
        <w:t>NUMBER: 74-19</w:t>
      </w:r>
    </w:p>
    <w:p w:rsidR="00DE4BC2" w:rsidRDefault="00DE4BC2">
      <w:pPr>
        <w:pStyle w:val="BodyText"/>
        <w:spacing w:before="7"/>
        <w:rPr>
          <w:sz w:val="24"/>
        </w:rPr>
      </w:pPr>
    </w:p>
    <w:p w:rsidR="00DE4BC2" w:rsidRDefault="0007022A">
      <w:pPr>
        <w:pStyle w:val="BodyText"/>
        <w:ind w:right="1064"/>
        <w:jc w:val="right"/>
      </w:pPr>
      <w:r>
        <w:rPr>
          <w:w w:val="95"/>
        </w:rPr>
        <w:t>UNIFORM</w:t>
      </w:r>
      <w:r>
        <w:rPr>
          <w:spacing w:val="50"/>
          <w:w w:val="95"/>
        </w:rPr>
        <w:t xml:space="preserve"> </w:t>
      </w:r>
      <w:r>
        <w:rPr>
          <w:w w:val="95"/>
        </w:rPr>
        <w:t>FILE</w:t>
      </w:r>
    </w:p>
    <w:p w:rsidR="00DE4BC2" w:rsidRDefault="0007022A">
      <w:pPr>
        <w:pStyle w:val="BodyText"/>
        <w:tabs>
          <w:tab w:val="left" w:pos="1508"/>
        </w:tabs>
        <w:spacing w:before="10"/>
        <w:ind w:right="308"/>
        <w:jc w:val="right"/>
      </w:pPr>
      <w:r>
        <w:rPr>
          <w:w w:val="95"/>
        </w:rPr>
        <w:t>REFERENCE:</w:t>
      </w:r>
      <w:r>
        <w:rPr>
          <w:w w:val="95"/>
        </w:rPr>
        <w:tab/>
      </w:r>
      <w:r>
        <w:rPr>
          <w:spacing w:val="-1"/>
        </w:rPr>
        <w:t>Degrees:</w:t>
      </w:r>
    </w:p>
    <w:p w:rsidR="00DE4BC2" w:rsidRDefault="0007022A">
      <w:pPr>
        <w:pStyle w:val="BodyText"/>
        <w:spacing w:before="24"/>
        <w:ind w:right="107"/>
        <w:jc w:val="right"/>
      </w:pPr>
      <w:r>
        <w:rPr>
          <w:w w:val="105"/>
        </w:rPr>
        <w:t>Options</w:t>
      </w:r>
    </w:p>
    <w:p w:rsidR="00DE4BC2" w:rsidRDefault="00DE4BC2">
      <w:pPr>
        <w:pStyle w:val="BodyText"/>
        <w:spacing w:before="9"/>
        <w:rPr>
          <w:sz w:val="11"/>
        </w:rPr>
      </w:pPr>
    </w:p>
    <w:p w:rsidR="00DE4BC2" w:rsidRDefault="0007022A">
      <w:pPr>
        <w:pStyle w:val="BodyText"/>
        <w:spacing w:before="91"/>
        <w:ind w:left="195"/>
      </w:pPr>
      <w:r>
        <w:rPr>
          <w:w w:val="105"/>
        </w:rPr>
        <w:t>SUBJECT: Bachelor of Arts in Speech Communication, Teaching Option</w:t>
      </w:r>
    </w:p>
    <w:p w:rsidR="00DE4BC2" w:rsidRDefault="00DE4BC2">
      <w:pPr>
        <w:pStyle w:val="BodyText"/>
        <w:rPr>
          <w:sz w:val="26"/>
        </w:rPr>
      </w:pPr>
    </w:p>
    <w:p w:rsidR="00DE4BC2" w:rsidRDefault="00DE4BC2">
      <w:pPr>
        <w:pStyle w:val="BodyText"/>
        <w:spacing w:before="1"/>
      </w:pPr>
    </w:p>
    <w:p w:rsidR="00DE4BC2" w:rsidRDefault="0007022A">
      <w:pPr>
        <w:pStyle w:val="BodyText"/>
        <w:spacing w:line="242" w:lineRule="auto"/>
        <w:ind w:left="199" w:right="928" w:firstLine="962"/>
      </w:pPr>
      <w:r>
        <w:rPr>
          <w:w w:val="105"/>
        </w:rPr>
        <w:t>This option is designed to meet the needs of candidates for the Single Subject teaching credenti</w:t>
      </w:r>
      <w:r>
        <w:rPr>
          <w:w w:val="105"/>
        </w:rPr>
        <w:t>al in English with a Speech Communication concentration.</w:t>
      </w:r>
    </w:p>
    <w:p w:rsidR="00DE4BC2" w:rsidRDefault="00DE4BC2">
      <w:pPr>
        <w:pStyle w:val="BodyText"/>
        <w:spacing w:before="6"/>
        <w:rPr>
          <w:sz w:val="16"/>
        </w:rPr>
      </w:pPr>
    </w:p>
    <w:p w:rsidR="00DE4BC2" w:rsidRDefault="0007022A">
      <w:pPr>
        <w:pStyle w:val="BodyText"/>
        <w:tabs>
          <w:tab w:val="left" w:pos="2011"/>
        </w:tabs>
        <w:spacing w:before="91" w:line="242" w:lineRule="auto"/>
        <w:ind w:left="1132" w:right="928" w:hanging="921"/>
      </w:pPr>
      <w:r>
        <w:rPr>
          <w:w w:val="105"/>
          <w:u w:val="thick"/>
        </w:rPr>
        <w:t>Lower</w:t>
      </w:r>
      <w:r>
        <w:rPr>
          <w:spacing w:val="7"/>
          <w:w w:val="105"/>
          <w:u w:val="thick"/>
        </w:rPr>
        <w:t xml:space="preserve"> </w:t>
      </w:r>
      <w:r>
        <w:rPr>
          <w:w w:val="105"/>
          <w:u w:val="thick"/>
        </w:rPr>
        <w:t>Division:</w:t>
      </w:r>
      <w:r>
        <w:rPr>
          <w:w w:val="105"/>
        </w:rPr>
        <w:tab/>
      </w:r>
      <w:r>
        <w:rPr>
          <w:w w:val="105"/>
        </w:rPr>
        <w:t>(a) Speech Communication 246, (b) four units from English 250A or 250B, {c) Comparative Literature  232 or upper division  courses:</w:t>
      </w:r>
      <w:r>
        <w:rPr>
          <w:spacing w:val="60"/>
          <w:w w:val="105"/>
        </w:rPr>
        <w:t xml:space="preserve"> </w:t>
      </w:r>
      <w:r>
        <w:rPr>
          <w:w w:val="105"/>
        </w:rPr>
        <w:t>English 482 or Comparative Literature 330A, 330B, or 332. Radio/TV 100 strongly recommended.</w:t>
      </w:r>
    </w:p>
    <w:p w:rsidR="00DE4BC2" w:rsidRDefault="00DE4BC2">
      <w:pPr>
        <w:pStyle w:val="BodyText"/>
        <w:spacing w:before="9"/>
        <w:rPr>
          <w:sz w:val="17"/>
        </w:rPr>
      </w:pPr>
    </w:p>
    <w:p w:rsidR="00DE4BC2" w:rsidRDefault="0007022A">
      <w:pPr>
        <w:pStyle w:val="BodyText"/>
        <w:spacing w:before="106" w:line="223" w:lineRule="auto"/>
        <w:ind w:left="1121" w:right="928" w:hanging="936"/>
      </w:pPr>
      <w:r>
        <w:rPr>
          <w:w w:val="105"/>
          <w:u w:val="thick"/>
        </w:rPr>
        <w:t>Upper Division:</w:t>
      </w:r>
      <w:r>
        <w:rPr>
          <w:w w:val="105"/>
        </w:rPr>
        <w:t xml:space="preserve"> (a) Speech Com</w:t>
      </w:r>
      <w:r>
        <w:rPr>
          <w:w w:val="105"/>
        </w:rPr>
        <w:t xml:space="preserve">munication 355 and 450, (b) nine units from 331, 332, </w:t>
      </w:r>
      <w:r>
        <w:rPr>
          <w:w w:val="105"/>
          <w:sz w:val="28"/>
          <w:u w:val="thick"/>
        </w:rPr>
        <w:t>333,</w:t>
      </w:r>
      <w:r>
        <w:rPr>
          <w:w w:val="105"/>
          <w:sz w:val="28"/>
        </w:rPr>
        <w:t xml:space="preserve"> </w:t>
      </w:r>
      <w:r>
        <w:rPr>
          <w:w w:val="105"/>
        </w:rPr>
        <w:t xml:space="preserve">or 335, (c) three  units  from  439,440,  445,  (d)  three  units  from  446, 448, or 449, (e) English 310, </w:t>
      </w:r>
      <w:r>
        <w:rPr>
          <w:rFonts w:ascii="Arial"/>
          <w:w w:val="105"/>
          <w:sz w:val="22"/>
        </w:rPr>
        <w:t xml:space="preserve">(f) </w:t>
      </w:r>
      <w:r>
        <w:rPr>
          <w:w w:val="105"/>
        </w:rPr>
        <w:t>four units from English 370A or 370B, (g) four units from English 320 or</w:t>
      </w:r>
      <w:r>
        <w:rPr>
          <w:spacing w:val="-13"/>
          <w:w w:val="105"/>
        </w:rPr>
        <w:t xml:space="preserve"> </w:t>
      </w:r>
      <w:r>
        <w:rPr>
          <w:w w:val="105"/>
        </w:rPr>
        <w:t>325.</w:t>
      </w:r>
    </w:p>
    <w:p w:rsidR="00DE4BC2" w:rsidRDefault="00DE4BC2">
      <w:pPr>
        <w:pStyle w:val="BodyText"/>
        <w:rPr>
          <w:sz w:val="20"/>
        </w:rPr>
      </w:pPr>
    </w:p>
    <w:p w:rsidR="00DE4BC2" w:rsidRDefault="00DE4BC2">
      <w:pPr>
        <w:pStyle w:val="BodyText"/>
        <w:spacing w:before="5"/>
        <w:rPr>
          <w:sz w:val="20"/>
        </w:rPr>
      </w:pPr>
    </w:p>
    <w:p w:rsidR="00DE4BC2" w:rsidRDefault="0007022A">
      <w:pPr>
        <w:pStyle w:val="BodyText"/>
        <w:spacing w:before="91"/>
        <w:ind w:left="168"/>
      </w:pPr>
      <w:r>
        <w:rPr>
          <w:w w:val="105"/>
          <w:u w:val="thick"/>
        </w:rPr>
        <w:t>Expla</w:t>
      </w:r>
      <w:r>
        <w:rPr>
          <w:w w:val="105"/>
          <w:u w:val="thick"/>
        </w:rPr>
        <w:t>nation</w:t>
      </w:r>
    </w:p>
    <w:p w:rsidR="00DE4BC2" w:rsidRDefault="00DE4BC2">
      <w:pPr>
        <w:pStyle w:val="BodyText"/>
        <w:rPr>
          <w:sz w:val="26"/>
        </w:rPr>
      </w:pPr>
    </w:p>
    <w:p w:rsidR="00DE4BC2" w:rsidRDefault="0007022A" w:rsidP="0007022A">
      <w:pPr>
        <w:pStyle w:val="BodyText"/>
        <w:tabs>
          <w:tab w:val="left" w:pos="3018"/>
        </w:tabs>
        <w:spacing w:before="158" w:line="249" w:lineRule="auto"/>
        <w:ind w:left="130" w:right="928" w:firstLine="21"/>
      </w:pPr>
      <w:r>
        <w:rPr>
          <w:w w:val="105"/>
        </w:rPr>
        <w:t xml:space="preserve">The Ryan Act has eliminated teaching credentials in several areas, which are now </w:t>
      </w:r>
      <w:r>
        <w:rPr>
          <w:w w:val="105"/>
        </w:rPr>
        <w:t>"subsumed"</w:t>
      </w:r>
      <w:r>
        <w:rPr>
          <w:spacing w:val="37"/>
          <w:w w:val="105"/>
        </w:rPr>
        <w:t xml:space="preserve"> </w:t>
      </w:r>
      <w:r>
        <w:rPr>
          <w:w w:val="105"/>
        </w:rPr>
        <w:t>under</w:t>
      </w:r>
      <w:r>
        <w:rPr>
          <w:spacing w:val="22"/>
          <w:w w:val="105"/>
        </w:rPr>
        <w:t xml:space="preserve"> </w:t>
      </w:r>
      <w:r>
        <w:rPr>
          <w:w w:val="105"/>
        </w:rPr>
        <w:t>English.</w:t>
      </w:r>
      <w:r>
        <w:rPr>
          <w:w w:val="105"/>
        </w:rPr>
        <w:tab/>
        <w:t>In order to provide suitable programs, an "English core</w:t>
      </w:r>
      <w:r>
        <w:rPr>
          <w:w w:val="105"/>
        </w:rPr>
        <w:t xml:space="preserve"> program" which meets the minimum requirements for the</w:t>
      </w:r>
      <w:r>
        <w:rPr>
          <w:w w:val="105"/>
        </w:rPr>
        <w:t xml:space="preserve"> credential hos</w:t>
      </w:r>
      <w:r>
        <w:rPr>
          <w:w w:val="105"/>
        </w:rPr>
        <w:t xml:space="preserve"> been devel</w:t>
      </w:r>
      <w:r>
        <w:rPr>
          <w:w w:val="105"/>
        </w:rPr>
        <w:t>oped. This core program is incorporated into various degree programs. In English, Comparative Literature, and Journalism, the resulting package fits into existing degree patterns</w:t>
      </w:r>
      <w:r>
        <w:rPr>
          <w:w w:val="105"/>
        </w:rPr>
        <w:t>.</w:t>
      </w:r>
      <w:r>
        <w:rPr>
          <w:spacing w:val="60"/>
          <w:w w:val="105"/>
        </w:rPr>
        <w:t xml:space="preserve"> </w:t>
      </w:r>
      <w:r>
        <w:rPr>
          <w:w w:val="105"/>
        </w:rPr>
        <w:t>In Speech Communication, Theatre Arts, and Radio/T</w:t>
      </w:r>
      <w:r>
        <w:rPr>
          <w:w w:val="105"/>
        </w:rPr>
        <w:t xml:space="preserve">V there is no existing </w:t>
      </w:r>
      <w:r>
        <w:rPr>
          <w:w w:val="105"/>
        </w:rPr>
        <w:t>program</w:t>
      </w:r>
      <w:r>
        <w:rPr>
          <w:spacing w:val="-16"/>
          <w:w w:val="105"/>
        </w:rPr>
        <w:t xml:space="preserve"> </w:t>
      </w:r>
      <w:r>
        <w:rPr>
          <w:w w:val="105"/>
        </w:rPr>
        <w:t>which</w:t>
      </w:r>
      <w:r>
        <w:t xml:space="preserve"> </w:t>
      </w:r>
      <w:r>
        <w:rPr>
          <w:w w:val="110"/>
        </w:rPr>
        <w:t xml:space="preserve">will fit, </w:t>
      </w:r>
      <w:r>
        <w:rPr>
          <w:spacing w:val="3"/>
          <w:w w:val="110"/>
        </w:rPr>
        <w:t xml:space="preserve">and </w:t>
      </w:r>
      <w:r>
        <w:rPr>
          <w:spacing w:val="3"/>
          <w:w w:val="110"/>
        </w:rPr>
        <w:t xml:space="preserve">a </w:t>
      </w:r>
      <w:r>
        <w:rPr>
          <w:w w:val="110"/>
        </w:rPr>
        <w:t>new option is necessary to</w:t>
      </w:r>
      <w:r>
        <w:rPr>
          <w:w w:val="110"/>
        </w:rPr>
        <w:t xml:space="preserve"> allow students to</w:t>
      </w:r>
      <w:r>
        <w:rPr>
          <w:w w:val="110"/>
        </w:rPr>
        <w:t xml:space="preserve"> receive a </w:t>
      </w:r>
      <w:bookmarkStart w:id="0" w:name="_GoBack"/>
      <w:bookmarkEnd w:id="0"/>
      <w:r>
        <w:rPr>
          <w:w w:val="110"/>
        </w:rPr>
        <w:t>teaching credential</w:t>
      </w:r>
      <w:r>
        <w:rPr>
          <w:w w:val="110"/>
        </w:rPr>
        <w:t xml:space="preserve"> a long with a</w:t>
      </w:r>
      <w:r>
        <w:rPr>
          <w:spacing w:val="-31"/>
          <w:w w:val="110"/>
        </w:rPr>
        <w:t xml:space="preserve"> </w:t>
      </w:r>
      <w:r>
        <w:rPr>
          <w:w w:val="110"/>
        </w:rPr>
        <w:t>degree.</w:t>
      </w:r>
    </w:p>
    <w:p w:rsidR="00DE4BC2" w:rsidRDefault="00DE4BC2">
      <w:pPr>
        <w:pStyle w:val="BodyText"/>
        <w:rPr>
          <w:sz w:val="26"/>
        </w:rPr>
      </w:pPr>
    </w:p>
    <w:p w:rsidR="00DE4BC2" w:rsidRDefault="00DE4BC2">
      <w:pPr>
        <w:pStyle w:val="BodyText"/>
        <w:rPr>
          <w:sz w:val="26"/>
        </w:rPr>
      </w:pPr>
    </w:p>
    <w:p w:rsidR="00DE4BC2" w:rsidRDefault="00DE4BC2">
      <w:pPr>
        <w:pStyle w:val="BodyText"/>
        <w:rPr>
          <w:sz w:val="22"/>
        </w:rPr>
      </w:pPr>
    </w:p>
    <w:p w:rsidR="00DE4BC2" w:rsidRDefault="0007022A">
      <w:pPr>
        <w:pStyle w:val="BodyText"/>
        <w:ind w:left="132"/>
      </w:pPr>
      <w:r>
        <w:rPr>
          <w:w w:val="105"/>
        </w:rPr>
        <w:t>Effective Immediately. Will be published in 1975-76 General Bulletin.</w:t>
      </w:r>
    </w:p>
    <w:p w:rsidR="00DE4BC2" w:rsidRDefault="00DE4BC2">
      <w:pPr>
        <w:pStyle w:val="BodyText"/>
        <w:spacing w:before="7"/>
      </w:pPr>
    </w:p>
    <w:p w:rsidR="00DE4BC2" w:rsidRDefault="0007022A">
      <w:pPr>
        <w:ind w:left="133"/>
      </w:pPr>
      <w:proofErr w:type="spellStart"/>
      <w:r>
        <w:t>DEG</w:t>
      </w:r>
      <w:proofErr w:type="gramStart"/>
      <w:r>
        <w:t>:sn</w:t>
      </w:r>
      <w:proofErr w:type="spellEnd"/>
      <w:proofErr w:type="gramEnd"/>
    </w:p>
    <w:p w:rsidR="00DE4BC2" w:rsidRDefault="00DE4BC2">
      <w:pPr>
        <w:pStyle w:val="BodyText"/>
        <w:spacing w:before="6"/>
        <w:rPr>
          <w:sz w:val="25"/>
        </w:rPr>
      </w:pPr>
    </w:p>
    <w:p w:rsidR="00DE4BC2" w:rsidRDefault="0007022A">
      <w:pPr>
        <w:pStyle w:val="BodyText"/>
        <w:ind w:left="101"/>
      </w:pPr>
      <w:r>
        <w:t>September 19, 1974</w:t>
      </w:r>
    </w:p>
    <w:sectPr w:rsidR="00DE4BC2">
      <w:type w:val="continuous"/>
      <w:pgSz w:w="12220" w:h="15670"/>
      <w:pgMar w:top="1480" w:right="9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DE4BC2"/>
    <w:rsid w:val="0007022A"/>
    <w:rsid w:val="00DE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B7B87"/>
  <w15:docId w15:val="{5F2A9547-5706-4ED3-AB56-82DE1509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>CSU Long Beach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Quy Hua</cp:lastModifiedBy>
  <cp:revision>2</cp:revision>
  <dcterms:created xsi:type="dcterms:W3CDTF">2018-02-28T23:28:00Z</dcterms:created>
  <dcterms:modified xsi:type="dcterms:W3CDTF">2018-02-28T23:29:00Z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2017-01-16T00:00:00Z</vt:filetime>
  </property>
  <property fmtid="{D5CDD505-2E9C-101B-9397-08002B2CF9AE}" pid="3" name="Creator">
    <vt:lpwstr>421-Academic Senate</vt:lpwstr>
  </property>
  <property fmtid="{D5CDD505-2E9C-101B-9397-08002B2CF9AE}" pid="4" name="LastSaved">
    <vt:filetime>2017-01-16T00:00:00Z</vt:filetime>
  </property>
</Properties>
</file>