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39" w:val="left" w:leader="none"/>
        </w:tabs>
        <w:spacing w:before="79"/>
      </w:pPr>
      <w:r>
        <w:rPr/>
        <w:pict>
          <v:group style="position:absolute;margin-left:60pt;margin-top:22.583712pt;width:492pt;height:1.5pt;mso-position-horizontal-relative:page;mso-position-vertical-relative:paragraph;z-index:0;mso-wrap-distance-left:0;mso-wrap-distance-right:0" coordorigin="1200,452" coordsize="9840,30">
            <v:line style="position:absolute" from="1200,467" to="11040,467" stroked="true" strokeweight="1.5pt" strokecolor="#7f7f7f">
              <v:stroke dashstyle="solid"/>
            </v:line>
            <v:rect style="position:absolute;left:1200;top:451;width:5;height:5" filled="true" fillcolor="#7f7f7f" stroked="false">
              <v:fill type="solid"/>
            </v:rect>
            <v:line style="position:absolute" from="1200,454" to="11035,454" stroked="true" strokeweight=".24pt" strokecolor="#7f7f7f">
              <v:stroke dashstyle="solid"/>
            </v:line>
            <v:rect style="position:absolute;left:11035;top:451;width:5;height:5" filled="true" fillcolor="#d4d0c8" stroked="false">
              <v:fill type="solid"/>
            </v:rect>
            <v:rect style="position:absolute;left:11035;top:451;width:5;height:5" filled="true" fillcolor="#7f7f7f" stroked="false">
              <v:fill type="solid"/>
            </v:rect>
            <v:rect style="position:absolute;left:1200;top:456;width:5;height:21" filled="true" fillcolor="#7f7f7f" stroked="false">
              <v:fill type="solid"/>
            </v:rect>
            <v:rect style="position:absolute;left:11035;top:456;width:5;height:21" filled="true" fillcolor="#d4d0c8" stroked="false">
              <v:fill type="solid"/>
            </v:rect>
            <v:rect style="position:absolute;left:1200;top:476;width:5;height:5" filled="true" fillcolor="#7f7f7f" stroked="false">
              <v:fill type="solid"/>
            </v:rect>
            <v:line style="position:absolute" from="1200,479" to="11040,479" stroked="true" strokeweight=".24pt" strokecolor="#d4d0c8">
              <v:stroke dashstyle="solid"/>
            </v:line>
            <v:rect style="position:absolute;left:11035;top:476;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w:t>
      </w:r>
      <w:r>
        <w:rPr>
          <w:color w:val="323232"/>
          <w:spacing w:val="0"/>
        </w:rPr>
        <w:t> </w:t>
      </w:r>
      <w:r>
        <w:rPr>
          <w:color w:val="323232"/>
        </w:rPr>
        <w:t>Statement</w:t>
      </w:r>
    </w:p>
    <w:p>
      <w:pPr>
        <w:spacing w:line="243" w:lineRule="exact" w:before="70"/>
        <w:ind w:left="0" w:right="1350" w:firstLine="0"/>
        <w:jc w:val="right"/>
        <w:rPr>
          <w:b/>
          <w:sz w:val="20"/>
        </w:rPr>
      </w:pPr>
      <w:r>
        <w:rPr>
          <w:b/>
          <w:color w:val="323232"/>
          <w:sz w:val="20"/>
        </w:rPr>
        <w:t>01-04</w:t>
      </w:r>
    </w:p>
    <w:p>
      <w:pPr>
        <w:pStyle w:val="BodyText"/>
        <w:spacing w:line="243" w:lineRule="exact"/>
        <w:ind w:right="758"/>
        <w:jc w:val="right"/>
      </w:pPr>
      <w:r>
        <w:rPr>
          <w:color w:val="323232"/>
        </w:rPr>
        <w:t>May 7, 2001</w:t>
      </w:r>
    </w:p>
    <w:p>
      <w:pPr>
        <w:pStyle w:val="BodyText"/>
        <w:spacing w:before="10"/>
        <w:rPr>
          <w:sz w:val="14"/>
        </w:rPr>
      </w:pPr>
    </w:p>
    <w:p>
      <w:pPr>
        <w:pStyle w:val="Heading1"/>
        <w:spacing w:before="100"/>
        <w:ind w:left="2626" w:right="2606"/>
        <w:jc w:val="center"/>
      </w:pPr>
      <w:r>
        <w:rPr>
          <w:color w:val="323232"/>
        </w:rPr>
        <w:t>Bachelor of Arts Degree in Chinese Studies (code 2-8440) (120 units)</w:t>
      </w:r>
    </w:p>
    <w:p>
      <w:pPr>
        <w:pStyle w:val="BodyText"/>
        <w:spacing w:before="1"/>
        <w:rPr>
          <w:b/>
          <w:sz w:val="23"/>
        </w:rPr>
      </w:pPr>
    </w:p>
    <w:p>
      <w:pPr>
        <w:pStyle w:val="BodyText"/>
        <w:ind w:left="1275" w:right="1248"/>
        <w:jc w:val="center"/>
      </w:pPr>
      <w:r>
        <w:rPr>
          <w:color w:val="323232"/>
        </w:rPr>
        <w:t>This new degree was approved by the Academic Senate on April 13, 2000, approved by the President on May 15, 2000, and</w:t>
      </w:r>
    </w:p>
    <w:p>
      <w:pPr>
        <w:pStyle w:val="BodyText"/>
        <w:ind w:left="2227"/>
      </w:pPr>
      <w:r>
        <w:rPr>
          <w:color w:val="323232"/>
        </w:rPr>
        <w:t>approved by the Chancellor's Office on March 20, 2001.</w:t>
      </w:r>
    </w:p>
    <w:p>
      <w:pPr>
        <w:pStyle w:val="BodyText"/>
        <w:spacing w:before="1"/>
        <w:rPr>
          <w:sz w:val="23"/>
        </w:rPr>
      </w:pPr>
    </w:p>
    <w:p>
      <w:pPr>
        <w:pStyle w:val="BodyText"/>
        <w:ind w:left="119" w:right="106" w:firstLine="720"/>
      </w:pPr>
      <w:r>
        <w:rPr>
          <w:color w:val="323232"/>
        </w:rPr>
        <w:t>The Bachelor of Arts program in Chinese Studies at CSULB is designed to provide students with linguistic and cultural preparation, supported by international perspectives and understanding of humanities for personal, socio-political, and literary-intellectual development, as well as for economic self-sufficiency in the ever-intertwining world of a global economy. The degree program is a major intended to educate and produce graduates who will have communicative proficiency, critical thinking skills, socio-cultural understanding, and literary sensibility for intercultural communication. The degree program will also provide students with an opportunity and preparation to pursue a career involving the Pacific Rim nations, and to go on to graduate and professional programs in fields such as Art, International Affairs, Business Administration, History, Literature, Law, Journalism, Public Administration, or</w:t>
      </w:r>
      <w:r>
        <w:rPr>
          <w:color w:val="323232"/>
          <w:spacing w:val="-8"/>
        </w:rPr>
        <w:t> </w:t>
      </w:r>
      <w:r>
        <w:rPr>
          <w:color w:val="323232"/>
        </w:rPr>
        <w:t>Education.</w:t>
      </w:r>
    </w:p>
    <w:p>
      <w:pPr>
        <w:pStyle w:val="BodyText"/>
        <w:rPr>
          <w:sz w:val="23"/>
        </w:rPr>
      </w:pPr>
    </w:p>
    <w:p>
      <w:pPr>
        <w:pStyle w:val="Heading1"/>
        <w:spacing w:line="243" w:lineRule="exact"/>
      </w:pPr>
      <w:r>
        <w:rPr>
          <w:color w:val="323232"/>
        </w:rPr>
        <w:t>Residence Requirement for the Majors</w:t>
      </w:r>
    </w:p>
    <w:p>
      <w:pPr>
        <w:pStyle w:val="BodyText"/>
        <w:ind w:left="120" w:right="622" w:firstLine="720"/>
      </w:pPr>
      <w:r>
        <w:rPr>
          <w:color w:val="323232"/>
        </w:rPr>
        <w:t>At least four upper-division courses required for the major must be completed successfully at CSULB. Students are encouraged, however, to complete up to a year of their language study in approved programs of study abroad.</w:t>
      </w:r>
    </w:p>
    <w:p>
      <w:pPr>
        <w:pStyle w:val="BodyText"/>
        <w:rPr>
          <w:sz w:val="23"/>
        </w:rPr>
      </w:pPr>
    </w:p>
    <w:p>
      <w:pPr>
        <w:pStyle w:val="Heading1"/>
      </w:pPr>
      <w:r>
        <w:rPr>
          <w:color w:val="323232"/>
        </w:rPr>
        <w:t>Requirements</w:t>
      </w:r>
    </w:p>
    <w:p>
      <w:pPr>
        <w:pStyle w:val="BodyText"/>
        <w:spacing w:before="1"/>
        <w:ind w:left="119" w:right="308" w:firstLine="720"/>
      </w:pPr>
      <w:r>
        <w:rPr>
          <w:color w:val="323232"/>
        </w:rPr>
        <w:t>A minimum of 38 units is required, including at least 15 units earned in residence at CSULB. CHIN 101 and 102 are prerequisite to the major and may be satisfied by appropriate high school preparation or by examination. Required courses include a 3-unit lower-division course, 20 units of core courses, and 15 units of electives from the following two groups: 1. Chinese and Chinese language-, literature-, or culture- related courses (9 units); and 2. China- related courses (6 units).</w:t>
      </w:r>
    </w:p>
    <w:p>
      <w:pPr>
        <w:pStyle w:val="BodyText"/>
        <w:spacing w:before="12"/>
        <w:rPr>
          <w:sz w:val="22"/>
        </w:rPr>
      </w:pPr>
    </w:p>
    <w:p>
      <w:pPr>
        <w:pStyle w:val="BodyText"/>
        <w:ind w:left="120"/>
      </w:pPr>
      <w:r>
        <w:rPr>
          <w:color w:val="323232"/>
        </w:rPr>
        <w:t>Lower-Division Required Courses (11 units):</w:t>
      </w:r>
    </w:p>
    <w:p>
      <w:pPr>
        <w:pStyle w:val="ListParagraph"/>
        <w:numPr>
          <w:ilvl w:val="0"/>
          <w:numId w:val="1"/>
        </w:numPr>
        <w:tabs>
          <w:tab w:pos="1040" w:val="left" w:leader="none"/>
        </w:tabs>
        <w:spacing w:line="243" w:lineRule="exact" w:before="0" w:after="0"/>
        <w:ind w:left="120" w:right="0" w:firstLine="638"/>
        <w:jc w:val="left"/>
        <w:rPr>
          <w:sz w:val="20"/>
        </w:rPr>
      </w:pPr>
      <w:r>
        <w:rPr>
          <w:color w:val="323232"/>
          <w:sz w:val="20"/>
        </w:rPr>
        <w:t>3 units required course: CHIN 250 or CHIN</w:t>
      </w:r>
      <w:r>
        <w:rPr>
          <w:color w:val="323232"/>
          <w:spacing w:val="-2"/>
          <w:sz w:val="20"/>
        </w:rPr>
        <w:t> </w:t>
      </w:r>
      <w:r>
        <w:rPr>
          <w:color w:val="323232"/>
          <w:sz w:val="20"/>
        </w:rPr>
        <w:t>260</w:t>
      </w:r>
    </w:p>
    <w:p>
      <w:pPr>
        <w:pStyle w:val="ListParagraph"/>
        <w:numPr>
          <w:ilvl w:val="0"/>
          <w:numId w:val="1"/>
        </w:numPr>
        <w:tabs>
          <w:tab w:pos="1040" w:val="left" w:leader="none"/>
        </w:tabs>
        <w:spacing w:line="240" w:lineRule="auto" w:before="0" w:after="0"/>
        <w:ind w:left="120" w:right="5326" w:firstLine="637"/>
        <w:jc w:val="left"/>
        <w:rPr>
          <w:sz w:val="20"/>
        </w:rPr>
      </w:pPr>
      <w:r>
        <w:rPr>
          <w:color w:val="323232"/>
          <w:sz w:val="20"/>
        </w:rPr>
        <w:t>8 units core courses: CHIN 201, 202 Upper-Division Required Courses (27units)</w:t>
      </w:r>
    </w:p>
    <w:p>
      <w:pPr>
        <w:pStyle w:val="ListParagraph"/>
        <w:numPr>
          <w:ilvl w:val="0"/>
          <w:numId w:val="2"/>
        </w:numPr>
        <w:tabs>
          <w:tab w:pos="1040" w:val="left" w:leader="none"/>
        </w:tabs>
        <w:spacing w:line="243" w:lineRule="exact" w:before="1" w:after="0"/>
        <w:ind w:left="1039" w:right="0" w:hanging="282"/>
        <w:jc w:val="left"/>
        <w:rPr>
          <w:sz w:val="20"/>
        </w:rPr>
      </w:pPr>
      <w:r>
        <w:rPr>
          <w:color w:val="323232"/>
          <w:sz w:val="20"/>
        </w:rPr>
        <w:t>12 units core courses: CHIN 301, 370, 451,</w:t>
      </w:r>
      <w:r>
        <w:rPr>
          <w:color w:val="323232"/>
          <w:spacing w:val="-3"/>
          <w:sz w:val="20"/>
        </w:rPr>
        <w:t> </w:t>
      </w:r>
      <w:r>
        <w:rPr>
          <w:color w:val="323232"/>
          <w:sz w:val="20"/>
        </w:rPr>
        <w:t>492.</w:t>
      </w:r>
    </w:p>
    <w:p>
      <w:pPr>
        <w:pStyle w:val="ListParagraph"/>
        <w:numPr>
          <w:ilvl w:val="0"/>
          <w:numId w:val="2"/>
        </w:numPr>
        <w:tabs>
          <w:tab w:pos="1040" w:val="left" w:leader="none"/>
        </w:tabs>
        <w:spacing w:line="243" w:lineRule="exact" w:before="0" w:after="0"/>
        <w:ind w:left="1039" w:right="0" w:hanging="282"/>
        <w:jc w:val="left"/>
        <w:rPr>
          <w:sz w:val="20"/>
        </w:rPr>
      </w:pPr>
      <w:r>
        <w:rPr>
          <w:color w:val="323232"/>
          <w:sz w:val="20"/>
        </w:rPr>
        <w:t>15 units electives selected from the following two groups:</w:t>
      </w:r>
    </w:p>
    <w:p>
      <w:pPr>
        <w:pStyle w:val="BodyText"/>
      </w:pPr>
    </w:p>
    <w:p>
      <w:pPr>
        <w:pStyle w:val="BodyText"/>
        <w:ind w:left="120"/>
      </w:pPr>
      <w:r>
        <w:rPr>
          <w:color w:val="323232"/>
        </w:rPr>
        <w:t>1. 9 units selected from CHIN 302, 321, 350, 360, 380, 390, 410, 430A, 430B, 430C, 490, 499, A/ST 490A, 490B.</w:t>
      </w:r>
    </w:p>
    <w:p>
      <w:pPr>
        <w:pStyle w:val="BodyText"/>
        <w:rPr>
          <w:sz w:val="23"/>
        </w:rPr>
      </w:pPr>
    </w:p>
    <w:p>
      <w:pPr>
        <w:pStyle w:val="BodyText"/>
        <w:ind w:left="120"/>
      </w:pPr>
      <w:r>
        <w:rPr>
          <w:color w:val="323232"/>
        </w:rPr>
        <w:t>2. 6 Units selected from ANTH 332, AH 468, 469, ASAM 331, A/ST 300I, 301I, 320, 406, 495I,</w:t>
      </w:r>
    </w:p>
    <w:p>
      <w:pPr>
        <w:pStyle w:val="BodyText"/>
        <w:spacing w:before="1"/>
        <w:ind w:left="120"/>
      </w:pPr>
      <w:r>
        <w:rPr>
          <w:color w:val="323232"/>
        </w:rPr>
        <w:t>ECON 365, 370, HIST 382A, 382B, 406, 488, JOUR 312I, PHIL 306, POSC 362, 455, R/ST 341I,</w:t>
      </w:r>
    </w:p>
    <w:p>
      <w:pPr>
        <w:pStyle w:val="BodyText"/>
        <w:ind w:left="120"/>
      </w:pPr>
      <w:r>
        <w:rPr>
          <w:color w:val="323232"/>
        </w:rPr>
        <w:t>343, W/ST 406.</w:t>
      </w:r>
    </w:p>
    <w:p>
      <w:pPr>
        <w:pStyle w:val="BodyText"/>
        <w:spacing w:before="1"/>
        <w:rPr>
          <w:sz w:val="29"/>
        </w:rPr>
      </w:pPr>
      <w:r>
        <w:rPr/>
        <w:pict>
          <v:group style="position:absolute;margin-left:60pt;margin-top:19.699015pt;width:492pt;height:1.5pt;mso-position-horizontal-relative:page;mso-position-vertical-relative:paragraph;z-index:1048;mso-wrap-distance-left:0;mso-wrap-distance-right:0" coordorigin="1200,394" coordsize="9840,30">
            <v:line style="position:absolute" from="1200,409" to="11040,409" stroked="true" strokeweight="1.5pt" strokecolor="#7f7f7f">
              <v:stroke dashstyle="solid"/>
            </v:line>
            <v:rect style="position:absolute;left:1200;top:393;width:5;height:5" filled="true" fillcolor="#7f7f7f" stroked="false">
              <v:fill type="solid"/>
            </v:rect>
            <v:line style="position:absolute" from="1200,396" to="11035,396" stroked="true" strokeweight=".24pt" strokecolor="#7f7f7f">
              <v:stroke dashstyle="solid"/>
            </v:line>
            <v:rect style="position:absolute;left:11035;top:393;width:5;height:5" filled="true" fillcolor="#d4d0c8" stroked="false">
              <v:fill type="solid"/>
            </v:rect>
            <v:rect style="position:absolute;left:11035;top:393;width:5;height:5" filled="true" fillcolor="#7f7f7f" stroked="false">
              <v:fill type="solid"/>
            </v:rect>
            <v:rect style="position:absolute;left:1200;top:398;width:5;height:21" filled="true" fillcolor="#7f7f7f" stroked="false">
              <v:fill type="solid"/>
            </v:rect>
            <v:rect style="position:absolute;left:11035;top:398;width:5;height:21" filled="true" fillcolor="#d4d0c8" stroked="false">
              <v:fill type="solid"/>
            </v:rect>
            <v:rect style="position:absolute;left:1200;top:419;width:5;height:5" filled="true" fillcolor="#7f7f7f" stroked="false">
              <v:fill type="solid"/>
            </v:rect>
            <v:line style="position:absolute" from="1200,422" to="11040,422" stroked="true" strokeweight=".24pt" strokecolor="#d4d0c8">
              <v:stroke dashstyle="solid"/>
            </v:line>
            <v:rect style="position:absolute;left:11035;top:419;width:5;height:5" filled="true" fillcolor="#d4d0c8" stroked="false">
              <v:fill type="solid"/>
            </v:rect>
            <w10:wrap type="topAndBottom"/>
          </v:group>
        </w:pict>
      </w:r>
    </w:p>
    <w:p>
      <w:pPr>
        <w:pStyle w:val="Heading1"/>
        <w:spacing w:before="69"/>
      </w:pPr>
      <w:r>
        <w:rPr>
          <w:color w:val="323232"/>
        </w:rPr>
        <w:t>EFFECTIVE: Spring 2001</w:t>
      </w:r>
    </w:p>
    <w:p>
      <w:pPr>
        <w:pStyle w:val="BodyText"/>
        <w:spacing w:line="243" w:lineRule="exact" w:before="1"/>
        <w:ind w:left="120"/>
      </w:pPr>
      <w:r>
        <w:rPr>
          <w:color w:val="323232"/>
        </w:rPr>
        <w:t>Code: 2-8440</w:t>
      </w:r>
    </w:p>
    <w:p>
      <w:pPr>
        <w:pStyle w:val="BodyText"/>
        <w:ind w:left="120" w:right="8770"/>
      </w:pPr>
      <w:r>
        <w:rPr>
          <w:color w:val="323232"/>
        </w:rPr>
        <w:t>College: 28 Career: UG</w:t>
      </w:r>
    </w:p>
    <w:p>
      <w:pPr>
        <w:pStyle w:val="BodyText"/>
        <w:ind w:left="120" w:right="6900"/>
      </w:pPr>
      <w:r>
        <w:rPr>
          <w:color w:val="323232"/>
        </w:rPr>
        <w:t>IPEDS (Major) ERSS: 03021 IPEDS (Degree) ERSD: 03021</w:t>
      </w:r>
    </w:p>
    <w:p>
      <w:pPr>
        <w:spacing w:after="0"/>
        <w:sectPr>
          <w:type w:val="continuous"/>
          <w:pgSz w:w="12240" w:h="15840"/>
          <w:pgMar w:top="620" w:bottom="280" w:left="1080" w:right="1100"/>
        </w:sectPr>
      </w:pPr>
    </w:p>
    <w:p>
      <w:pPr>
        <w:pStyle w:val="BodyText"/>
        <w:spacing w:before="4"/>
        <w:rPr>
          <w:rFonts w:ascii="Times New Roman"/>
          <w:sz w:val="17"/>
        </w:rPr>
      </w:pPr>
    </w:p>
    <w:sectPr>
      <w:pgSz w:w="12240" w:h="15840"/>
      <w:pgMar w:top="1500" w:bottom="28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039" w:hanging="282"/>
        <w:jc w:val="left"/>
      </w:pPr>
      <w:rPr>
        <w:rFonts w:hint="default" w:ascii="Verdana" w:hAnsi="Verdana" w:eastAsia="Verdana" w:cs="Verdana"/>
        <w:color w:val="323232"/>
        <w:w w:val="100"/>
        <w:sz w:val="20"/>
        <w:szCs w:val="20"/>
        <w:lang w:val="en-us" w:eastAsia="en-us" w:bidi="en-us"/>
      </w:rPr>
    </w:lvl>
    <w:lvl w:ilvl="1">
      <w:start w:val="0"/>
      <w:numFmt w:val="bullet"/>
      <w:lvlText w:val="•"/>
      <w:lvlJc w:val="left"/>
      <w:pPr>
        <w:ind w:left="1942" w:hanging="282"/>
      </w:pPr>
      <w:rPr>
        <w:rFonts w:hint="default"/>
        <w:lang w:val="en-us" w:eastAsia="en-us" w:bidi="en-us"/>
      </w:rPr>
    </w:lvl>
    <w:lvl w:ilvl="2">
      <w:start w:val="0"/>
      <w:numFmt w:val="bullet"/>
      <w:lvlText w:val="•"/>
      <w:lvlJc w:val="left"/>
      <w:pPr>
        <w:ind w:left="2844" w:hanging="282"/>
      </w:pPr>
      <w:rPr>
        <w:rFonts w:hint="default"/>
        <w:lang w:val="en-us" w:eastAsia="en-us" w:bidi="en-us"/>
      </w:rPr>
    </w:lvl>
    <w:lvl w:ilvl="3">
      <w:start w:val="0"/>
      <w:numFmt w:val="bullet"/>
      <w:lvlText w:val="•"/>
      <w:lvlJc w:val="left"/>
      <w:pPr>
        <w:ind w:left="3746" w:hanging="282"/>
      </w:pPr>
      <w:rPr>
        <w:rFonts w:hint="default"/>
        <w:lang w:val="en-us" w:eastAsia="en-us" w:bidi="en-us"/>
      </w:rPr>
    </w:lvl>
    <w:lvl w:ilvl="4">
      <w:start w:val="0"/>
      <w:numFmt w:val="bullet"/>
      <w:lvlText w:val="•"/>
      <w:lvlJc w:val="left"/>
      <w:pPr>
        <w:ind w:left="4648" w:hanging="282"/>
      </w:pPr>
      <w:rPr>
        <w:rFonts w:hint="default"/>
        <w:lang w:val="en-us" w:eastAsia="en-us" w:bidi="en-us"/>
      </w:rPr>
    </w:lvl>
    <w:lvl w:ilvl="5">
      <w:start w:val="0"/>
      <w:numFmt w:val="bullet"/>
      <w:lvlText w:val="•"/>
      <w:lvlJc w:val="left"/>
      <w:pPr>
        <w:ind w:left="5550" w:hanging="282"/>
      </w:pPr>
      <w:rPr>
        <w:rFonts w:hint="default"/>
        <w:lang w:val="en-us" w:eastAsia="en-us" w:bidi="en-us"/>
      </w:rPr>
    </w:lvl>
    <w:lvl w:ilvl="6">
      <w:start w:val="0"/>
      <w:numFmt w:val="bullet"/>
      <w:lvlText w:val="•"/>
      <w:lvlJc w:val="left"/>
      <w:pPr>
        <w:ind w:left="6452" w:hanging="282"/>
      </w:pPr>
      <w:rPr>
        <w:rFonts w:hint="default"/>
        <w:lang w:val="en-us" w:eastAsia="en-us" w:bidi="en-us"/>
      </w:rPr>
    </w:lvl>
    <w:lvl w:ilvl="7">
      <w:start w:val="0"/>
      <w:numFmt w:val="bullet"/>
      <w:lvlText w:val="•"/>
      <w:lvlJc w:val="left"/>
      <w:pPr>
        <w:ind w:left="7354" w:hanging="282"/>
      </w:pPr>
      <w:rPr>
        <w:rFonts w:hint="default"/>
        <w:lang w:val="en-us" w:eastAsia="en-us" w:bidi="en-us"/>
      </w:rPr>
    </w:lvl>
    <w:lvl w:ilvl="8">
      <w:start w:val="0"/>
      <w:numFmt w:val="bullet"/>
      <w:lvlText w:val="•"/>
      <w:lvlJc w:val="left"/>
      <w:pPr>
        <w:ind w:left="8256" w:hanging="282"/>
      </w:pPr>
      <w:rPr>
        <w:rFonts w:hint="default"/>
        <w:lang w:val="en-us" w:eastAsia="en-us" w:bidi="en-us"/>
      </w:rPr>
    </w:lvl>
  </w:abstractNum>
  <w:abstractNum w:abstractNumId="0">
    <w:multiLevelType w:val="hybridMultilevel"/>
    <w:lvl w:ilvl="0">
      <w:start w:val="1"/>
      <w:numFmt w:val="upperLetter"/>
      <w:lvlText w:val="%1."/>
      <w:lvlJc w:val="left"/>
      <w:pPr>
        <w:ind w:left="120" w:hanging="282"/>
        <w:jc w:val="left"/>
      </w:pPr>
      <w:rPr>
        <w:rFonts w:hint="default" w:ascii="Verdana" w:hAnsi="Verdana" w:eastAsia="Verdana" w:cs="Verdana"/>
        <w:color w:val="323232"/>
        <w:w w:val="100"/>
        <w:sz w:val="20"/>
        <w:szCs w:val="20"/>
        <w:lang w:val="en-us" w:eastAsia="en-us" w:bidi="en-us"/>
      </w:rPr>
    </w:lvl>
    <w:lvl w:ilvl="1">
      <w:start w:val="0"/>
      <w:numFmt w:val="bullet"/>
      <w:lvlText w:val="•"/>
      <w:lvlJc w:val="left"/>
      <w:pPr>
        <w:ind w:left="1114" w:hanging="282"/>
      </w:pPr>
      <w:rPr>
        <w:rFonts w:hint="default"/>
        <w:lang w:val="en-us" w:eastAsia="en-us" w:bidi="en-us"/>
      </w:rPr>
    </w:lvl>
    <w:lvl w:ilvl="2">
      <w:start w:val="0"/>
      <w:numFmt w:val="bullet"/>
      <w:lvlText w:val="•"/>
      <w:lvlJc w:val="left"/>
      <w:pPr>
        <w:ind w:left="2108" w:hanging="282"/>
      </w:pPr>
      <w:rPr>
        <w:rFonts w:hint="default"/>
        <w:lang w:val="en-us" w:eastAsia="en-us" w:bidi="en-us"/>
      </w:rPr>
    </w:lvl>
    <w:lvl w:ilvl="3">
      <w:start w:val="0"/>
      <w:numFmt w:val="bullet"/>
      <w:lvlText w:val="•"/>
      <w:lvlJc w:val="left"/>
      <w:pPr>
        <w:ind w:left="3102" w:hanging="282"/>
      </w:pPr>
      <w:rPr>
        <w:rFonts w:hint="default"/>
        <w:lang w:val="en-us" w:eastAsia="en-us" w:bidi="en-us"/>
      </w:rPr>
    </w:lvl>
    <w:lvl w:ilvl="4">
      <w:start w:val="0"/>
      <w:numFmt w:val="bullet"/>
      <w:lvlText w:val="•"/>
      <w:lvlJc w:val="left"/>
      <w:pPr>
        <w:ind w:left="4096" w:hanging="282"/>
      </w:pPr>
      <w:rPr>
        <w:rFonts w:hint="default"/>
        <w:lang w:val="en-us" w:eastAsia="en-us" w:bidi="en-us"/>
      </w:rPr>
    </w:lvl>
    <w:lvl w:ilvl="5">
      <w:start w:val="0"/>
      <w:numFmt w:val="bullet"/>
      <w:lvlText w:val="•"/>
      <w:lvlJc w:val="left"/>
      <w:pPr>
        <w:ind w:left="5090" w:hanging="282"/>
      </w:pPr>
      <w:rPr>
        <w:rFonts w:hint="default"/>
        <w:lang w:val="en-us" w:eastAsia="en-us" w:bidi="en-us"/>
      </w:rPr>
    </w:lvl>
    <w:lvl w:ilvl="6">
      <w:start w:val="0"/>
      <w:numFmt w:val="bullet"/>
      <w:lvlText w:val="•"/>
      <w:lvlJc w:val="left"/>
      <w:pPr>
        <w:ind w:left="6084" w:hanging="282"/>
      </w:pPr>
      <w:rPr>
        <w:rFonts w:hint="default"/>
        <w:lang w:val="en-us" w:eastAsia="en-us" w:bidi="en-us"/>
      </w:rPr>
    </w:lvl>
    <w:lvl w:ilvl="7">
      <w:start w:val="0"/>
      <w:numFmt w:val="bullet"/>
      <w:lvlText w:val="•"/>
      <w:lvlJc w:val="left"/>
      <w:pPr>
        <w:ind w:left="7078" w:hanging="282"/>
      </w:pPr>
      <w:rPr>
        <w:rFonts w:hint="default"/>
        <w:lang w:val="en-us" w:eastAsia="en-us" w:bidi="en-us"/>
      </w:rPr>
    </w:lvl>
    <w:lvl w:ilvl="8">
      <w:start w:val="0"/>
      <w:numFmt w:val="bullet"/>
      <w:lvlText w:val="•"/>
      <w:lvlJc w:val="left"/>
      <w:pPr>
        <w:ind w:left="8072" w:hanging="28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ind w:left="12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spacing w:line="243" w:lineRule="exact"/>
      <w:ind w:left="120" w:hanging="282"/>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Policy Statement </dc:title>
  <dcterms:created xsi:type="dcterms:W3CDTF">2018-02-22T19:34:28Z</dcterms:created>
  <dcterms:modified xsi:type="dcterms:W3CDTF">2018-02-22T19:34:28Z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2018-02-22T00:00:00Z</vt:filetime>
  </property>
</Properties>
</file>