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925" w:val="left" w:leader="none"/>
        </w:tabs>
        <w:spacing w:line="240" w:lineRule="auto"/>
        <w:ind w:left="9316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72pt;margin-top:13.705886pt;width:489.5pt;height:.1pt;mso-position-horizontal-relative:page;mso-position-vertical-relative:paragraph;z-index:-2752" coordorigin="1440,274" coordsize="9790,2">
            <v:shape style="position:absolute;left:1440;top:274;width:9790;height:2" coordorigin="1440,274" coordsize="9790,0" path="m1440,274l11230,274e" filled="false" stroked="true" strokeweight="1pt" strokecolor="#231f20">
              <v:path arrowok="t"/>
            </v:shape>
            <w10:wrap type="none"/>
          </v:group>
        </w:pict>
      </w:r>
      <w:r>
        <w:rPr>
          <w:rFonts w:ascii="Arial"/>
          <w:color w:val="231F20"/>
          <w:spacing w:val="-1"/>
        </w:rPr>
        <w:t>California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State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  <w:spacing w:val="-3"/>
        </w:rPr>
        <w:t>University,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Long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  <w:spacing w:val="-1"/>
        </w:rPr>
        <w:t>Beach</w:t>
        <w:tab/>
      </w:r>
      <w:r>
        <w:rPr>
          <w:rFonts w:ascii="Arial"/>
          <w:color w:val="231F20"/>
        </w:rPr>
        <w:t>Policy</w:t>
      </w:r>
      <w:r>
        <w:rPr>
          <w:rFonts w:ascii="Arial"/>
          <w:color w:val="231F20"/>
          <w:spacing w:val="-7"/>
        </w:rPr>
        <w:t> </w:t>
      </w:r>
      <w:r>
        <w:rPr>
          <w:rFonts w:ascii="Arial"/>
          <w:color w:val="231F20"/>
        </w:rPr>
        <w:t>Statement</w:t>
      </w:r>
      <w:r>
        <w:rPr>
          <w:rFonts w:ascii="Arial"/>
          <w:b w:val="0"/>
        </w:rPr>
      </w:r>
    </w:p>
    <w:p>
      <w:pPr>
        <w:spacing w:before="113"/>
        <w:ind w:left="0" w:right="108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pacing w:val="-1"/>
          <w:sz w:val="24"/>
        </w:rPr>
        <w:t>10-01</w:t>
      </w:r>
      <w:r>
        <w:rPr>
          <w:rFonts w:ascii="Arial"/>
          <w:sz w:val="24"/>
        </w:rPr>
      </w:r>
    </w:p>
    <w:p>
      <w:pPr>
        <w:pStyle w:val="BodyText"/>
        <w:spacing w:line="240" w:lineRule="auto" w:before="40"/>
        <w:ind w:left="0" w:right="108"/>
        <w:jc w:val="right"/>
        <w:rPr>
          <w:rFonts w:ascii="Arial" w:hAnsi="Arial" w:cs="Arial" w:eastAsia="Arial"/>
        </w:rPr>
      </w:pPr>
      <w:r>
        <w:rPr>
          <w:rFonts w:ascii="Arial"/>
          <w:color w:val="231F20"/>
        </w:rPr>
        <w:t>January</w:t>
      </w:r>
      <w:r>
        <w:rPr>
          <w:rFonts w:ascii="Arial"/>
          <w:color w:val="231F20"/>
          <w:spacing w:val="-1"/>
        </w:rPr>
        <w:t> 15,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2010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tabs>
          <w:tab w:pos="8789" w:val="left" w:leader="none"/>
        </w:tabs>
        <w:spacing w:line="240" w:lineRule="auto" w:before="115"/>
        <w:ind w:right="0" w:firstLine="0"/>
        <w:jc w:val="left"/>
        <w:rPr>
          <w:b w:val="0"/>
          <w:bCs w:val="0"/>
        </w:rPr>
      </w:pPr>
      <w:r>
        <w:rPr>
          <w:color w:val="231F20"/>
        </w:rPr>
        <w:t>Post-Baccalaureate Certificate in Communicative Disorders (code CD</w:t>
      </w:r>
      <w:r>
        <w:rPr>
          <w:color w:val="231F20"/>
          <w:u w:val="single" w:color="221E1F"/>
        </w:rPr>
      </w:r>
      <w:r>
        <w:rPr>
          <w:color w:val="231F20"/>
        </w:rPr>
        <w:tab/>
      </w:r>
      <w:r>
        <w:rPr>
          <w:color w:val="231F20"/>
        </w:rPr>
        <w:t>CT01)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50" w:lineRule="auto"/>
        <w:ind w:left="1543" w:right="1511"/>
        <w:jc w:val="center"/>
      </w:pPr>
      <w:r>
        <w:rPr>
          <w:color w:val="231F20"/>
        </w:rPr>
        <w:t>This new certificate was recommended by the</w:t>
      </w:r>
      <w:r>
        <w:rPr>
          <w:color w:val="231F20"/>
          <w:spacing w:val="-10"/>
        </w:rPr>
        <w:t> </w:t>
      </w:r>
      <w:r>
        <w:rPr>
          <w:color w:val="231F20"/>
        </w:rPr>
        <w:t>Academic Senate on November 19, 2009</w:t>
      </w:r>
      <w:r>
        <w:rPr>
          <w:color w:val="231F20"/>
        </w:rPr>
        <w:t> and approved by the President on December 2, 2009.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5" w:lineRule="auto"/>
        <w:ind w:left="140" w:right="297" w:firstLine="360"/>
        <w:jc w:val="left"/>
      </w:pPr>
      <w:r>
        <w:rPr>
          <w:color w:val="231F20"/>
        </w:rPr>
        <w:t>The Communicative Disorders Post-Baccalaureate Certificate is a self-support, certificate program which allows students with a B.A./B.S. in a field other than Communicative Disorder to complete the undergraduate pre-requisites needed to apply to a Master’s program in Communicative Disorders.</w:t>
      </w:r>
      <w:r>
        <w:rPr>
          <w:color w:val="231F20"/>
          <w:spacing w:val="47"/>
        </w:rPr>
        <w:t> </w:t>
      </w:r>
      <w:r>
        <w:rPr>
          <w:color w:val="231F20"/>
        </w:rPr>
        <w:t>This certificate program allows students to</w:t>
      </w:r>
      <w:r>
        <w:rPr>
          <w:color w:val="231F20"/>
        </w:rPr>
        <w:t> complete a total of 36 units in Communicative Disorders in one </w:t>
      </w:r>
      <w:r>
        <w:rPr>
          <w:color w:val="231F20"/>
          <w:spacing w:val="-2"/>
        </w:rPr>
        <w:t>year,</w:t>
      </w:r>
      <w:r>
        <w:rPr>
          <w:color w:val="231F20"/>
        </w:rPr>
        <w:t> across three consecutive semesters (Fall, Spring,</w:t>
      </w:r>
      <w:r>
        <w:rPr>
          <w:color w:val="231F20"/>
        </w:rPr>
        <w:t> and Summer).  Upon completion of this program, students will receive a Communicative Disorders Post-Baccalaureate Certificate, making them eligible for application to the Department's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Traditional</w:t>
      </w:r>
      <w:r>
        <w:rPr>
          <w:color w:val="231F20"/>
        </w:rPr>
        <w:t> or Special Cohort M.A. Program (or to</w:t>
      </w:r>
      <w:r>
        <w:rPr/>
      </w:r>
    </w:p>
    <w:p>
      <w:pPr>
        <w:pStyle w:val="BodyText"/>
        <w:spacing w:line="255" w:lineRule="auto"/>
        <w:ind w:left="140" w:right="297"/>
        <w:jc w:val="left"/>
      </w:pPr>
      <w:r>
        <w:rPr>
          <w:color w:val="231F20"/>
        </w:rPr>
        <w:t>a Master’s Program at another institution).  Please note that students applying to other institutions for completion of a Master's degree in Communicative Disorders must confirm acceptance of the prerequisites </w:t>
      </w:r>
      <w:r>
        <w:rPr>
          <w:color w:val="231F20"/>
          <w:spacing w:val="-1"/>
        </w:rPr>
        <w:t>offered</w:t>
      </w:r>
      <w:r>
        <w:rPr>
          <w:color w:val="231F20"/>
        </w:rPr>
        <w:t> in this program.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Department can not guarantee that other institutions will accept these pre-requisites in total.</w:t>
      </w:r>
      <w:r>
        <w:rPr/>
      </w:r>
    </w:p>
    <w:p>
      <w:pPr>
        <w:pStyle w:val="BodyText"/>
        <w:spacing w:line="255" w:lineRule="auto"/>
        <w:ind w:left="140" w:right="184" w:firstLine="360"/>
        <w:jc w:val="left"/>
      </w:pPr>
      <w:r>
        <w:rPr>
          <w:color w:val="231F20"/>
        </w:rPr>
        <w:t>Students admitted to this certificate program will enroll as a cohort and complete 12 units (4 courses) per </w:t>
      </w:r>
      <w:r>
        <w:rPr>
          <w:color w:val="231F20"/>
          <w:spacing w:val="-2"/>
        </w:rPr>
        <w:t>semester.</w:t>
      </w:r>
      <w:r>
        <w:rPr>
          <w:color w:val="231F20"/>
          <w:spacing w:val="28"/>
        </w:rPr>
        <w:t> </w:t>
      </w:r>
      <w:r>
        <w:rPr>
          <w:color w:val="231F20"/>
        </w:rPr>
        <w:t>Courses will be </w:t>
      </w:r>
      <w:r>
        <w:rPr>
          <w:color w:val="231F20"/>
          <w:spacing w:val="-1"/>
        </w:rPr>
        <w:t>offered</w:t>
      </w:r>
      <w:r>
        <w:rPr>
          <w:color w:val="231F20"/>
        </w:rPr>
        <w:t> solely through the College of Continuing and Professional Education (CCPE) at tuition determined</w:t>
      </w:r>
      <w:r>
        <w:rPr>
          <w:color w:val="231F20"/>
          <w:spacing w:val="23"/>
        </w:rPr>
        <w:t> </w:t>
      </w:r>
      <w:r>
        <w:rPr>
          <w:color w:val="231F20"/>
        </w:rPr>
        <w:t>by CCPE.  Enrollment in coursework in this program is reserved for certificate students.  Courses in this program will be</w:t>
      </w:r>
      <w:r>
        <w:rPr>
          <w:color w:val="231F20"/>
        </w:rPr>
        <w:t> </w:t>
      </w:r>
      <w:r>
        <w:rPr>
          <w:color w:val="231F20"/>
          <w:spacing w:val="-1"/>
        </w:rPr>
        <w:t>offered</w:t>
      </w:r>
      <w:r>
        <w:rPr>
          <w:color w:val="231F20"/>
        </w:rPr>
        <w:t> in the late afternoon and/or evenings.  Students interested must enroll full-time and must complete coursework</w:t>
      </w:r>
      <w:r>
        <w:rPr/>
      </w:r>
    </w:p>
    <w:p>
      <w:pPr>
        <w:pStyle w:val="BodyText"/>
        <w:spacing w:line="255" w:lineRule="auto"/>
        <w:ind w:left="140" w:right="297"/>
        <w:jc w:val="left"/>
      </w:pPr>
      <w:r>
        <w:rPr>
          <w:color w:val="231F20"/>
        </w:rPr>
        <w:t>as a cohort.</w:t>
      </w:r>
      <w:r>
        <w:rPr>
          <w:color w:val="231F20"/>
          <w:spacing w:val="50"/>
        </w:rPr>
        <w:t> </w:t>
      </w:r>
      <w:r>
        <w:rPr>
          <w:color w:val="231F20"/>
        </w:rPr>
        <w:t>In addition, transfer units are not accepted in lieu of completion of the 36 units required for this certificate.</w:t>
      </w:r>
      <w:r>
        <w:rPr>
          <w:color w:val="231F20"/>
        </w:rPr>
        <w:t> Students enrolled in this program are not eligible to enroll in courses </w:t>
      </w:r>
      <w:r>
        <w:rPr>
          <w:color w:val="231F20"/>
          <w:spacing w:val="-1"/>
        </w:rPr>
        <w:t>offered</w:t>
      </w:r>
      <w:r>
        <w:rPr>
          <w:color w:val="231F20"/>
        </w:rPr>
        <w:t> in Department's undergraduate or graduate</w:t>
      </w:r>
      <w:r>
        <w:rPr>
          <w:color w:val="231F20"/>
          <w:spacing w:val="24"/>
        </w:rPr>
        <w:t> </w:t>
      </w:r>
      <w:r>
        <w:rPr>
          <w:color w:val="231F20"/>
        </w:rPr>
        <w:t>programs.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This program admits students once per </w:t>
      </w:r>
      <w:r>
        <w:rPr>
          <w:color w:val="231F20"/>
          <w:spacing w:val="-2"/>
        </w:rPr>
        <w:t>year,</w:t>
      </w:r>
      <w:r>
        <w:rPr>
          <w:color w:val="231F20"/>
        </w:rPr>
        <w:t> for Fall enrollment.  Students interested in applying to this program must:</w:t>
      </w:r>
      <w:r>
        <w:rPr/>
      </w:r>
    </w:p>
    <w:p>
      <w:pPr>
        <w:pStyle w:val="BodyText"/>
        <w:numPr>
          <w:ilvl w:val="0"/>
          <w:numId w:val="1"/>
        </w:numPr>
        <w:tabs>
          <w:tab w:pos="741" w:val="left" w:leader="none"/>
        </w:tabs>
        <w:spacing w:line="250" w:lineRule="auto" w:before="9" w:after="0"/>
        <w:ind w:left="700" w:right="184" w:hanging="160"/>
        <w:jc w:val="left"/>
      </w:pPr>
      <w:r>
        <w:rPr>
          <w:color w:val="231F20"/>
        </w:rPr>
        <w:t>Send a letter of intent to:</w:t>
      </w:r>
      <w:r>
        <w:rPr>
          <w:color w:val="231F20"/>
          <w:spacing w:val="-4"/>
        </w:rPr>
        <w:t> </w:t>
      </w:r>
      <w:r>
        <w:rPr>
          <w:color w:val="231F20"/>
        </w:rPr>
        <w:t>The Graduate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Advisor,</w:t>
      </w:r>
      <w:r>
        <w:rPr>
          <w:color w:val="231F20"/>
        </w:rPr>
        <w:t> Department of Communicative Disorders - LAB, California State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University,</w:t>
      </w:r>
      <w:r>
        <w:rPr>
          <w:color w:val="231F20"/>
        </w:rPr>
        <w:t> Long Beach, 1250 Bellflower Boulevard, Long Beach, CA, 90840.</w:t>
      </w:r>
      <w:r>
        <w:rPr>
          <w:color w:val="231F20"/>
          <w:spacing w:val="47"/>
        </w:rPr>
        <w:t> </w:t>
      </w:r>
      <w:r>
        <w:rPr>
          <w:color w:val="231F20"/>
        </w:rPr>
        <w:t>This letter must indicate a request for</w:t>
      </w:r>
      <w:r>
        <w:rPr>
          <w:color w:val="231F20"/>
          <w:spacing w:val="28"/>
        </w:rPr>
        <w:t> </w:t>
      </w:r>
      <w:r>
        <w:rPr>
          <w:color w:val="231F20"/>
        </w:rPr>
        <w:t>acceptance to the "Communicative Disorders Post-Baccalaureate Certificate."</w:t>
      </w:r>
      <w:r>
        <w:rPr>
          <w:color w:val="231F20"/>
          <w:spacing w:val="40"/>
        </w:rPr>
        <w:t> </w:t>
      </w:r>
      <w:r>
        <w:rPr>
          <w:color w:val="231F20"/>
        </w:rPr>
        <w:t>All letters must be received by the</w:t>
      </w:r>
      <w:r>
        <w:rPr>
          <w:color w:val="231F20"/>
        </w:rPr>
        <w:t> Department no later than by March 1st (for enrollment the following Fall semester).  Letters received after the due date will not be accepted.</w:t>
      </w:r>
      <w:r>
        <w:rPr>
          <w:color w:val="231F20"/>
          <w:spacing w:val="50"/>
        </w:rPr>
        <w:t> </w:t>
      </w:r>
      <w:r>
        <w:rPr>
          <w:color w:val="231F20"/>
        </w:rPr>
        <w:t>GRE scores, resumes, and letters of recommendations are not required for admission to</w:t>
      </w:r>
      <w:r>
        <w:rPr>
          <w:color w:val="231F20"/>
        </w:rPr>
        <w:t> this program and will not be considered in the admission process, thus students are urged to omit them from their application.</w:t>
      </w:r>
      <w:r>
        <w:rPr/>
      </w:r>
    </w:p>
    <w:p>
      <w:pPr>
        <w:pStyle w:val="BodyText"/>
        <w:numPr>
          <w:ilvl w:val="0"/>
          <w:numId w:val="1"/>
        </w:numPr>
        <w:tabs>
          <w:tab w:pos="731" w:val="left" w:leader="none"/>
        </w:tabs>
        <w:spacing w:line="250" w:lineRule="auto" w:before="20" w:after="0"/>
        <w:ind w:left="700" w:right="110" w:hanging="160"/>
        <w:jc w:val="left"/>
      </w:pPr>
      <w:r>
        <w:rPr>
          <w:color w:val="231F20"/>
        </w:rPr>
        <w:t>Apply directly to the University through CSU Mentor (code CD    </w:t>
      </w:r>
      <w:r>
        <w:rPr>
          <w:color w:val="231F20"/>
          <w:u w:val="single" w:color="221E1F"/>
        </w:rPr>
      </w:r>
      <w:r>
        <w:rPr>
          <w:color w:val="231F20"/>
        </w:rPr>
      </w:r>
      <w:r>
        <w:rPr>
          <w:color w:val="231F20"/>
        </w:rPr>
        <w:t>CT01).  CSU Mentor applications are processed by</w:t>
      </w:r>
      <w:hyperlink r:id="rId5">
        <w:r>
          <w:rPr>
            <w:color w:val="231F20"/>
          </w:rPr>
          <w:t> the University on-line at: </w:t>
        </w:r>
        <w:r>
          <w:rPr>
            <w:color w:val="231F20"/>
            <w:spacing w:val="-1"/>
          </w:rPr>
          <w:t>http://www.csumentor.edu/.</w:t>
        </w:r>
      </w:hyperlink>
      <w:r>
        <w:rPr>
          <w:color w:val="231F20"/>
        </w:rPr>
        <w:t>  Original transcripts must be sent directly to the </w:t>
      </w:r>
      <w:r>
        <w:rPr>
          <w:color w:val="231F20"/>
          <w:spacing w:val="-2"/>
        </w:rPr>
        <w:t>University.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Department will access these transcripts electronically for Department evaluation.</w:t>
      </w:r>
      <w:r>
        <w:rPr>
          <w:color w:val="231F20"/>
          <w:spacing w:val="40"/>
        </w:rPr>
        <w:t> </w:t>
      </w:r>
      <w:r>
        <w:rPr>
          <w:color w:val="231F20"/>
        </w:rPr>
        <w:t>All materials to the University</w:t>
      </w:r>
      <w:r>
        <w:rPr>
          <w:color w:val="231F20"/>
        </w:rPr>
        <w:t> must also be received no later than March 1st.  NOTE:</w:t>
      </w:r>
      <w:r>
        <w:rPr>
          <w:color w:val="231F20"/>
          <w:spacing w:val="-10"/>
        </w:rPr>
        <w:t> </w:t>
      </w:r>
      <w:r>
        <w:rPr>
          <w:color w:val="231F20"/>
        </w:rPr>
        <w:t>Admission to this program does not guarantee acceptance</w:t>
      </w:r>
      <w:r>
        <w:rPr/>
      </w:r>
    </w:p>
    <w:p>
      <w:pPr>
        <w:pStyle w:val="BodyText"/>
        <w:spacing w:line="250" w:lineRule="auto"/>
        <w:ind w:left="700" w:right="297"/>
        <w:jc w:val="left"/>
      </w:pPr>
      <w:r>
        <w:rPr>
          <w:color w:val="231F20"/>
        </w:rPr>
        <w:t>or give the student undue preference in acceptance to the Department's Master's Programs in Communicative Disorders.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separate application is required for enrollment as a Master's student, once prerequisites have been</w:t>
      </w:r>
      <w:r>
        <w:rPr>
          <w:color w:val="231F20"/>
        </w:rPr>
        <w:t> completed.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0.5pt;height:1pt;mso-position-horizontal-relative:char;mso-position-vertical-relative:line" coordorigin="0,0" coordsize="9810,20">
            <v:group style="position:absolute;left:10;top:10;width:9790;height:2" coordorigin="10,10" coordsize="9790,2">
              <v:shape style="position:absolute;left:10;top:10;width:9790;height:2" coordorigin="10,10" coordsize="9790,0" path="m10,10l9800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23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1F20"/>
          <w:sz w:val="20"/>
        </w:rPr>
        <w:t>EFFECTIVE: Fall 2010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5" w:lineRule="auto"/>
        <w:ind w:right="6577"/>
        <w:jc w:val="left"/>
      </w:pPr>
      <w:r>
        <w:rPr>
          <w:color w:val="231F20"/>
        </w:rPr>
        <w:t>Campus Code:  (CD    </w:t>
      </w:r>
      <w:r>
        <w:rPr>
          <w:color w:val="231F20"/>
          <w:u w:val="single" w:color="221E1F"/>
        </w:rPr>
      </w:r>
      <w:r>
        <w:rPr>
          <w:color w:val="231F20"/>
        </w:rPr>
      </w:r>
      <w:r>
        <w:rPr>
          <w:color w:val="231F20"/>
        </w:rPr>
        <w:t>CT01)</w:t>
      </w:r>
      <w:r>
        <w:rPr>
          <w:color w:val="231F20"/>
        </w:rPr>
        <w:t> College:</w:t>
      </w:r>
      <w:r>
        <w:rPr>
          <w:color w:val="231F20"/>
          <w:spacing w:val="50"/>
        </w:rPr>
        <w:t> </w:t>
      </w:r>
      <w:r>
        <w:rPr>
          <w:color w:val="231F20"/>
        </w:rPr>
        <w:t>15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Career:</w:t>
      </w:r>
      <w:r>
        <w:rPr>
          <w:color w:val="231F20"/>
          <w:spacing w:val="50"/>
        </w:rPr>
        <w:t> </w:t>
      </w:r>
      <w:r>
        <w:rPr>
          <w:color w:val="231F20"/>
        </w:rPr>
        <w:t>GR</w:t>
      </w:r>
      <w:r>
        <w:rPr/>
      </w:r>
    </w:p>
    <w:p>
      <w:pPr>
        <w:pStyle w:val="BodyText"/>
        <w:spacing w:line="240" w:lineRule="auto" w:before="13"/>
        <w:ind w:right="0"/>
        <w:jc w:val="left"/>
      </w:pPr>
      <w:r>
        <w:rPr>
          <w:color w:val="231F20"/>
        </w:rPr>
        <w:t>CSU Code:  51.0201</w:t>
      </w:r>
      <w:r>
        <w:rPr/>
      </w:r>
    </w:p>
    <w:p>
      <w:pPr>
        <w:pStyle w:val="BodyText"/>
        <w:spacing w:line="240" w:lineRule="auto" w:before="13"/>
        <w:ind w:right="0"/>
        <w:jc w:val="left"/>
      </w:pPr>
      <w:r>
        <w:rPr>
          <w:color w:val="231F20"/>
        </w:rPr>
        <w:t>CIP</w:t>
      </w:r>
      <w:r>
        <w:rPr>
          <w:color w:val="231F20"/>
          <w:spacing w:val="-4"/>
        </w:rPr>
        <w:t> </w:t>
      </w:r>
      <w:r>
        <w:rPr>
          <w:color w:val="231F20"/>
        </w:rPr>
        <w:t>Code:  12201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9650" w:val="right" w:leader="none"/>
        </w:tabs>
        <w:spacing w:line="240" w:lineRule="auto" w:before="69"/>
        <w:ind w:left="110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PS </w:t>
      </w:r>
      <w:r>
        <w:rPr>
          <w:rFonts w:ascii="Arial"/>
          <w:color w:val="231F20"/>
          <w:spacing w:val="-1"/>
        </w:rPr>
        <w:t>10-01</w:t>
        <w:tab/>
      </w:r>
      <w:r>
        <w:rPr>
          <w:rFonts w:ascii="Arial"/>
          <w:color w:val="231F20"/>
        </w:rPr>
        <w:t>1</w:t>
      </w:r>
      <w:r>
        <w:rPr>
          <w:rFonts w:ascii="Arial"/>
        </w:rPr>
      </w:r>
    </w:p>
    <w:sectPr>
      <w:type w:val="continuous"/>
      <w:pgSz w:w="12240" w:h="15840"/>
      <w:pgMar w:top="1000" w:bottom="280" w:left="13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00" w:hanging="201"/>
        <w:jc w:val="left"/>
      </w:pPr>
      <w:rPr>
        <w:rFonts w:hint="default" w:ascii="Arial" w:hAnsi="Arial" w:eastAsia="Arial"/>
        <w:color w:val="231F20"/>
        <w:sz w:val="18"/>
        <w:szCs w:val="18"/>
      </w:rPr>
    </w:lvl>
    <w:lvl w:ilvl="1">
      <w:start w:val="1"/>
      <w:numFmt w:val="bullet"/>
      <w:lvlText w:val="•"/>
      <w:lvlJc w:val="left"/>
      <w:pPr>
        <w:ind w:left="1634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2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6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0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9"/>
      <w:ind w:left="613" w:hanging="9177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sumentor.edu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2015-03-09T15:31:13Z</dcterms:created>
  <dcterms:modified xsi:type="dcterms:W3CDTF">2015-03-09T15:31:13Z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2010-01-22T00:00:00Z</vt:filetime>
  </property>
  <property fmtid="{D5CDD505-2E9C-101B-9397-08002B2CF9AE}" pid="3" name="LastSaved">
    <vt:filetime>2015-03-09T00:00:00Z</vt:filetime>
  </property>
</Properties>
</file>