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tblCellMar>
          <w:top w:w="150" w:type="dxa"/>
          <w:left w:w="150" w:type="dxa"/>
          <w:bottom w:w="150" w:type="dxa"/>
          <w:right w:w="150" w:type="dxa"/>
        </w:tblCellMar>
        <w:tblLook w:val="04A0" w:firstRow="1" w:lastRow="0" w:firstColumn="1" w:lastColumn="0" w:noHBand="0" w:noVBand="1"/>
        <w:tblDescription w:val="This table is for layout purposes only."/>
      </w:tblPr>
      <w:tblGrid>
        <w:gridCol w:w="9360"/>
      </w:tblGrid>
      <w:tr w:rsidR="00B00565" w:rsidRPr="00B00565" w:rsidTr="00B00565">
        <w:trPr>
          <w:tblCellSpacing w:w="30" w:type="dxa"/>
        </w:trPr>
        <w:tc>
          <w:tcPr>
            <w:tcW w:w="0" w:type="auto"/>
            <w:hideMark/>
          </w:tcPr>
          <w:p w:rsidR="00B00565" w:rsidRPr="00B00565" w:rsidRDefault="00B00565" w:rsidP="00B00565">
            <w:pPr>
              <w:spacing w:after="0" w:line="240" w:lineRule="auto"/>
              <w:jc w:val="center"/>
              <w:rPr>
                <w:rFonts w:eastAsia="Times New Roman" w:cstheme="minorHAnsi"/>
                <w:color w:val="333333"/>
                <w:sz w:val="24"/>
                <w:szCs w:val="24"/>
              </w:rPr>
            </w:pPr>
            <w:bookmarkStart w:id="0" w:name="_GoBack"/>
            <w:bookmarkEnd w:id="0"/>
            <w:r w:rsidRPr="00B00565">
              <w:rPr>
                <w:rFonts w:eastAsia="Times New Roman" w:cstheme="minorHAnsi"/>
                <w:color w:val="333333"/>
                <w:sz w:val="24"/>
                <w:szCs w:val="24"/>
              </w:rPr>
              <w:t>California State University, Long Beach</w:t>
            </w:r>
          </w:p>
          <w:p w:rsidR="00B00565" w:rsidRPr="00B00565" w:rsidRDefault="00B00565" w:rsidP="00B00565">
            <w:pPr>
              <w:spacing w:before="100" w:beforeAutospacing="1" w:after="100" w:afterAutospacing="1" w:line="240" w:lineRule="auto"/>
              <w:jc w:val="center"/>
              <w:rPr>
                <w:rFonts w:eastAsia="Times New Roman" w:cstheme="minorHAnsi"/>
                <w:color w:val="333333"/>
                <w:sz w:val="24"/>
                <w:szCs w:val="24"/>
              </w:rPr>
            </w:pPr>
            <w:r w:rsidRPr="00B00565">
              <w:rPr>
                <w:rFonts w:eastAsia="Times New Roman" w:cstheme="minorHAnsi"/>
                <w:color w:val="333333"/>
                <w:sz w:val="24"/>
                <w:szCs w:val="24"/>
              </w:rPr>
              <w:t>POLICY STATEMENT</w:t>
            </w:r>
          </w:p>
          <w:p w:rsidR="00B00565" w:rsidRPr="00B00565" w:rsidRDefault="00B00565" w:rsidP="00B00565">
            <w:pPr>
              <w:spacing w:before="100" w:beforeAutospacing="1" w:after="100" w:afterAutospacing="1" w:line="240" w:lineRule="auto"/>
              <w:jc w:val="center"/>
              <w:rPr>
                <w:rFonts w:eastAsia="Times New Roman" w:cstheme="minorHAnsi"/>
                <w:color w:val="333333"/>
                <w:sz w:val="24"/>
                <w:szCs w:val="24"/>
              </w:rPr>
            </w:pPr>
            <w:r w:rsidRPr="00B00565">
              <w:rPr>
                <w:rFonts w:eastAsia="Times New Roman" w:cstheme="minorHAnsi"/>
                <w:color w:val="333333"/>
                <w:sz w:val="24"/>
                <w:szCs w:val="24"/>
              </w:rPr>
              <w:t>June 20, 1984</w:t>
            </w:r>
          </w:p>
          <w:p w:rsidR="00B00565" w:rsidRPr="00B00565" w:rsidRDefault="00B00565" w:rsidP="00B00565">
            <w:pPr>
              <w:spacing w:before="100" w:beforeAutospacing="1" w:after="100" w:afterAutospacing="1" w:line="240" w:lineRule="auto"/>
              <w:jc w:val="center"/>
              <w:rPr>
                <w:rFonts w:eastAsia="Times New Roman" w:cstheme="minorHAnsi"/>
                <w:color w:val="333333"/>
                <w:sz w:val="24"/>
                <w:szCs w:val="24"/>
              </w:rPr>
            </w:pPr>
            <w:r w:rsidRPr="00B00565">
              <w:rPr>
                <w:rFonts w:eastAsia="Times New Roman" w:cstheme="minorHAnsi"/>
                <w:color w:val="333333"/>
                <w:sz w:val="24"/>
                <w:szCs w:val="24"/>
              </w:rPr>
              <w:t>Number: 84-03</w:t>
            </w:r>
          </w:p>
          <w:p w:rsidR="00B00565" w:rsidRPr="00B00565" w:rsidRDefault="00B00565" w:rsidP="00B00565">
            <w:pPr>
              <w:spacing w:before="100" w:beforeAutospacing="1" w:after="100" w:afterAutospacing="1" w:line="240" w:lineRule="auto"/>
              <w:jc w:val="center"/>
              <w:rPr>
                <w:rFonts w:eastAsia="Times New Roman" w:cstheme="minorHAnsi"/>
                <w:color w:val="333333"/>
                <w:sz w:val="24"/>
                <w:szCs w:val="24"/>
              </w:rPr>
            </w:pPr>
            <w:r w:rsidRPr="00B00565">
              <w:rPr>
                <w:rFonts w:eastAsia="Times New Roman" w:cstheme="minorHAnsi"/>
                <w:color w:val="333333"/>
                <w:sz w:val="24"/>
                <w:szCs w:val="24"/>
              </w:rPr>
              <w:t>File:  Certificate</w:t>
            </w:r>
          </w:p>
          <w:p w:rsidR="00B00565" w:rsidRPr="00B00565" w:rsidRDefault="00B00565" w:rsidP="00B00565">
            <w:pPr>
              <w:spacing w:before="100" w:beforeAutospacing="1" w:after="100" w:afterAutospacing="1" w:line="240" w:lineRule="auto"/>
              <w:jc w:val="center"/>
              <w:rPr>
                <w:rFonts w:eastAsia="Times New Roman" w:cstheme="minorHAnsi"/>
                <w:color w:val="333333"/>
                <w:sz w:val="24"/>
                <w:szCs w:val="24"/>
              </w:rPr>
            </w:pPr>
            <w:r w:rsidRPr="00B00565">
              <w:rPr>
                <w:rFonts w:eastAsia="Times New Roman" w:cstheme="minorHAnsi"/>
                <w:color w:val="333333"/>
                <w:sz w:val="24"/>
                <w:szCs w:val="24"/>
              </w:rPr>
              <w:t>This curricular program was recommended by the </w:t>
            </w:r>
            <w:r w:rsidRPr="00B00565">
              <w:rPr>
                <w:rFonts w:eastAsia="Times New Roman" w:cstheme="minorHAnsi"/>
                <w:color w:val="333333"/>
                <w:sz w:val="24"/>
                <w:szCs w:val="24"/>
              </w:rPr>
              <w:br/>
              <w:t>Academic Senate in its meeting of May 10,  1984, </w:t>
            </w:r>
            <w:r w:rsidRPr="00B00565">
              <w:rPr>
                <w:rFonts w:eastAsia="Times New Roman" w:cstheme="minorHAnsi"/>
                <w:color w:val="333333"/>
                <w:sz w:val="24"/>
                <w:szCs w:val="24"/>
              </w:rPr>
              <w:br/>
              <w:t>and received the concurrence of the President on </w:t>
            </w:r>
            <w:r w:rsidRPr="00B00565">
              <w:rPr>
                <w:rFonts w:eastAsia="Times New Roman" w:cstheme="minorHAnsi"/>
                <w:color w:val="333333"/>
                <w:sz w:val="24"/>
                <w:szCs w:val="24"/>
              </w:rPr>
              <w:br/>
              <w:t>June 1, 1984.</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rPr>
              <w:t>SUBJECT:        GRADUATE CERTIFICATE IN PUBLIC SECTOR FINANCIAL  MANAGEMENT</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rPr>
              <w:t>The Public Sector Financial Management Certificate Program is a six-course academic program designed for public managers and other interested in obtaining an understanding of governmental financial management concepts, functions, techniques, and issues.  The Program is designed to familiarize students with financial management problems and the techniques available for solving them.  An emphasis is placed on how to recognize, evaluate, and utilize financial information in decision making.</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u w:val="single"/>
              </w:rPr>
              <w:t>Required Preparation</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rPr>
              <w:t>1.    An undergraduate degree in public administration or equivalent preparation for graduate study in public administration.</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rPr>
              <w:t>2.    Acceptance by the University as a post-baccalaureate student.</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rPr>
              <w:t>3.    An undergraduate grade point average of 2.75 or better, or 3.00 in the last 60 upper- and graduate-division units attempted.  A student whose overall undergraduate grade point average is less than 2.75, but who presents acceptable evidence of professional potential shown through recent academic performance and experiential background, may be admitted by special action of the faculty of the Center for Public Policy and Administration</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u w:val="single"/>
              </w:rPr>
              <w:t>Other Information</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rPr>
              <w:t>Each student must be approved for admission by the Director of the Center.</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rPr>
              <w:lastRenderedPageBreak/>
              <w:t>A total of six semester units of course work from a completed master's degree in Public Administration/Public Affairs may be applied toward the coursework requirements of the Certificate program.</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rPr>
              <w:t>Fifteen units of subject and unit credit earned in this Certificate program may be applied to the M.P.A. degree program, after acceptance into the M.P.A. program.</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u w:val="single"/>
              </w:rPr>
              <w:t>Course Requirements</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rPr>
              <w:t>A.    A total of six courses are required, as follows:</w:t>
            </w:r>
          </w:p>
          <w:p w:rsidR="00B00565" w:rsidRPr="00B00565" w:rsidRDefault="00B00565" w:rsidP="00B00565">
            <w:pPr>
              <w:spacing w:after="0" w:line="240" w:lineRule="auto"/>
              <w:rPr>
                <w:rFonts w:eastAsia="Times New Roman" w:cstheme="minorHAnsi"/>
                <w:color w:val="333333"/>
                <w:sz w:val="24"/>
                <w:szCs w:val="24"/>
              </w:rPr>
            </w:pPr>
            <w:r w:rsidRPr="00B00565">
              <w:rPr>
                <w:rFonts w:eastAsia="Times New Roman" w:cstheme="minorHAnsi"/>
                <w:color w:val="333333"/>
                <w:sz w:val="24"/>
                <w:szCs w:val="24"/>
              </w:rPr>
              <w:t>Required</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rPr>
              <w:t>PPA 555    Public Budgeting </w:t>
            </w:r>
            <w:r w:rsidRPr="00B00565">
              <w:rPr>
                <w:rFonts w:eastAsia="Times New Roman" w:cstheme="minorHAnsi"/>
                <w:color w:val="333333"/>
                <w:sz w:val="24"/>
                <w:szCs w:val="24"/>
              </w:rPr>
              <w:br/>
              <w:t>PPA 565    Local Government Finance Skills </w:t>
            </w:r>
            <w:r w:rsidRPr="00B00565">
              <w:rPr>
                <w:rFonts w:eastAsia="Times New Roman" w:cstheme="minorHAnsi"/>
                <w:color w:val="333333"/>
                <w:sz w:val="24"/>
                <w:szCs w:val="24"/>
              </w:rPr>
              <w:br/>
              <w:t>PPA 590    Basic Governmental (Fund) Accounting</w:t>
            </w:r>
          </w:p>
          <w:p w:rsidR="00B00565" w:rsidRPr="00B00565" w:rsidRDefault="00B00565" w:rsidP="00B00565">
            <w:pPr>
              <w:spacing w:after="0" w:line="240" w:lineRule="auto"/>
              <w:rPr>
                <w:rFonts w:eastAsia="Times New Roman" w:cstheme="minorHAnsi"/>
                <w:color w:val="333333"/>
                <w:sz w:val="24"/>
                <w:szCs w:val="24"/>
              </w:rPr>
            </w:pPr>
            <w:r w:rsidRPr="00B00565">
              <w:rPr>
                <w:rFonts w:eastAsia="Times New Roman" w:cstheme="minorHAnsi"/>
                <w:color w:val="333333"/>
                <w:sz w:val="24"/>
                <w:szCs w:val="24"/>
              </w:rPr>
              <w:t>B.    Three elective courses to be selected from the following: PPA 520    Governmental Administrative Service Analysis </w:t>
            </w:r>
            <w:r w:rsidRPr="00B00565">
              <w:rPr>
                <w:rFonts w:eastAsia="Times New Roman" w:cstheme="minorHAnsi"/>
                <w:color w:val="333333"/>
                <w:sz w:val="24"/>
                <w:szCs w:val="24"/>
              </w:rPr>
              <w:br/>
              <w:t>PPA 522    Automating Governmental Administration </w:t>
            </w:r>
            <w:r w:rsidRPr="00B00565">
              <w:rPr>
                <w:rFonts w:eastAsia="Times New Roman" w:cstheme="minorHAnsi"/>
                <w:color w:val="333333"/>
                <w:sz w:val="24"/>
                <w:szCs w:val="24"/>
              </w:rPr>
              <w:br/>
              <w:t>PPA 527    Productivity in Local Government </w:t>
            </w:r>
            <w:r w:rsidRPr="00B00565">
              <w:rPr>
                <w:rFonts w:eastAsia="Times New Roman" w:cstheme="minorHAnsi"/>
                <w:color w:val="333333"/>
                <w:sz w:val="24"/>
                <w:szCs w:val="24"/>
              </w:rPr>
              <w:br/>
              <w:t>PPA 540    Grants Administration and Management </w:t>
            </w:r>
            <w:r w:rsidRPr="00B00565">
              <w:rPr>
                <w:rFonts w:eastAsia="Times New Roman" w:cstheme="minorHAnsi"/>
                <w:color w:val="333333"/>
                <w:sz w:val="24"/>
                <w:szCs w:val="24"/>
              </w:rPr>
              <w:br/>
              <w:t>PPA 560    Public Financial Management Techniques and Issues </w:t>
            </w:r>
            <w:r w:rsidRPr="00B00565">
              <w:rPr>
                <w:rFonts w:eastAsia="Times New Roman" w:cstheme="minorHAnsi"/>
                <w:color w:val="333333"/>
                <w:sz w:val="24"/>
                <w:szCs w:val="24"/>
              </w:rPr>
              <w:br/>
              <w:t>PPA 590    Government Acquisition Policy </w:t>
            </w:r>
            <w:r w:rsidRPr="00B00565">
              <w:rPr>
                <w:rFonts w:eastAsia="Times New Roman" w:cstheme="minorHAnsi"/>
                <w:color w:val="333333"/>
                <w:sz w:val="24"/>
                <w:szCs w:val="24"/>
              </w:rPr>
              <w:br/>
              <w:t>PPA 590    Contracting for Public Services </w:t>
            </w:r>
            <w:r w:rsidRPr="00B00565">
              <w:rPr>
                <w:rFonts w:eastAsia="Times New Roman" w:cstheme="minorHAnsi"/>
                <w:color w:val="333333"/>
                <w:sz w:val="24"/>
                <w:szCs w:val="24"/>
              </w:rPr>
              <w:br/>
            </w:r>
            <w:r w:rsidRPr="00B00565">
              <w:rPr>
                <w:rFonts w:eastAsia="Times New Roman" w:cstheme="minorHAnsi"/>
                <w:color w:val="333333"/>
                <w:sz w:val="24"/>
                <w:szCs w:val="24"/>
              </w:rPr>
              <w:br/>
            </w:r>
            <w:r w:rsidRPr="00B00565">
              <w:rPr>
                <w:rFonts w:eastAsia="Times New Roman" w:cstheme="minorHAnsi"/>
                <w:color w:val="333333"/>
                <w:sz w:val="24"/>
                <w:szCs w:val="24"/>
              </w:rPr>
              <w:br/>
              <w:t>EFFECTIVE: Fall 1984</w:t>
            </w:r>
          </w:p>
          <w:p w:rsidR="00B00565" w:rsidRPr="00B00565" w:rsidRDefault="00B00565" w:rsidP="00B00565">
            <w:pPr>
              <w:spacing w:before="100" w:beforeAutospacing="1" w:after="100" w:afterAutospacing="1" w:line="240" w:lineRule="auto"/>
              <w:rPr>
                <w:rFonts w:eastAsia="Times New Roman" w:cstheme="minorHAnsi"/>
                <w:color w:val="333333"/>
                <w:sz w:val="24"/>
                <w:szCs w:val="24"/>
              </w:rPr>
            </w:pPr>
            <w:r w:rsidRPr="00B00565">
              <w:rPr>
                <w:rFonts w:eastAsia="Times New Roman" w:cstheme="minorHAnsi"/>
                <w:color w:val="333333"/>
                <w:sz w:val="24"/>
                <w:szCs w:val="24"/>
              </w:rPr>
              <w:t>ESC062084 </w:t>
            </w:r>
            <w:r w:rsidRPr="00B00565">
              <w:rPr>
                <w:rFonts w:eastAsia="Times New Roman" w:cstheme="minorHAnsi"/>
                <w:color w:val="333333"/>
                <w:sz w:val="24"/>
                <w:szCs w:val="24"/>
              </w:rPr>
              <w:br/>
              <w:t>APLPS2924</w:t>
            </w:r>
          </w:p>
        </w:tc>
      </w:tr>
    </w:tbl>
    <w:p w:rsidR="00B00565" w:rsidRPr="00B00565" w:rsidRDefault="00B00565" w:rsidP="00B00565">
      <w:pPr>
        <w:spacing w:after="0" w:line="240" w:lineRule="auto"/>
        <w:rPr>
          <w:rFonts w:eastAsia="Times New Roman" w:cstheme="minorHAnsi"/>
          <w:vanish/>
          <w:sz w:val="24"/>
          <w:szCs w:val="24"/>
        </w:rPr>
      </w:pPr>
    </w:p>
    <w:p w:rsidR="00D41F69" w:rsidRPr="00B00565" w:rsidRDefault="00D93511">
      <w:pPr>
        <w:rPr>
          <w:rFonts w:cstheme="minorHAnsi"/>
          <w:sz w:val="24"/>
          <w:szCs w:val="24"/>
        </w:rPr>
      </w:pPr>
    </w:p>
    <w:sectPr w:rsidR="00D41F69" w:rsidRPr="00B00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65"/>
    <w:rsid w:val="00380B74"/>
    <w:rsid w:val="00442FCA"/>
    <w:rsid w:val="00B00565"/>
    <w:rsid w:val="00D9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0F2E7-C322-46C1-9709-DBECE0FE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 Hua</dc:creator>
  <cp:keywords/>
  <dc:description/>
  <cp:lastModifiedBy>Quy Hua</cp:lastModifiedBy>
  <cp:revision>2</cp:revision>
  <dcterms:created xsi:type="dcterms:W3CDTF">2018-02-28T21:15:00Z</dcterms:created>
  <dcterms:modified xsi:type="dcterms:W3CDTF">2018-02-28T21:15:00Z</dcterms:modified>
</cp:coreProperties>
</file>