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23" w:rsidRPr="00625AC0" w:rsidRDefault="00625AC0">
      <w:pPr>
        <w:pStyle w:val="BodyText"/>
        <w:spacing w:before="74" w:line="444" w:lineRule="auto"/>
        <w:ind w:left="4798" w:right="2537" w:hanging="1734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sz w:val="24"/>
          <w:szCs w:val="24"/>
        </w:rPr>
        <w:t>CALIFORNIA ST</w:t>
      </w:r>
      <w:r w:rsidRPr="00625AC0">
        <w:rPr>
          <w:rFonts w:asciiTheme="minorHAnsi" w:hAnsiTheme="minorHAnsi" w:cstheme="minorHAnsi"/>
          <w:sz w:val="24"/>
          <w:szCs w:val="24"/>
        </w:rPr>
        <w:t>ATE UNIVERSITY, LONG BEACH POLICY STATEMENT</w:t>
      </w:r>
    </w:p>
    <w:p w:rsidR="00AE5B23" w:rsidRPr="00625AC0" w:rsidRDefault="00625AC0">
      <w:pPr>
        <w:pStyle w:val="BodyText"/>
        <w:tabs>
          <w:tab w:val="left" w:pos="1323"/>
        </w:tabs>
        <w:spacing w:line="256" w:lineRule="exact"/>
        <w:ind w:right="658"/>
        <w:jc w:val="right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sz w:val="24"/>
          <w:szCs w:val="24"/>
        </w:rPr>
        <w:t>NUMBER:</w:t>
      </w:r>
      <w:r w:rsidRPr="00625AC0">
        <w:rPr>
          <w:rFonts w:asciiTheme="minorHAnsi" w:hAnsiTheme="minorHAnsi" w:cstheme="minorHAnsi"/>
          <w:sz w:val="24"/>
          <w:szCs w:val="24"/>
        </w:rPr>
        <w:tab/>
      </w:r>
      <w:r w:rsidRPr="00625AC0">
        <w:rPr>
          <w:rFonts w:asciiTheme="minorHAnsi" w:hAnsiTheme="minorHAnsi" w:cstheme="minorHAnsi"/>
          <w:spacing w:val="-1"/>
          <w:w w:val="85"/>
          <w:sz w:val="24"/>
          <w:szCs w:val="24"/>
        </w:rPr>
        <w:t>78··33</w:t>
      </w:r>
    </w:p>
    <w:p w:rsidR="00AE5B23" w:rsidRPr="00625AC0" w:rsidRDefault="00625AC0">
      <w:pPr>
        <w:pStyle w:val="BodyText"/>
        <w:tabs>
          <w:tab w:val="left" w:pos="1013"/>
        </w:tabs>
        <w:spacing w:before="230"/>
        <w:ind w:right="104"/>
        <w:jc w:val="right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FILE: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ab/>
      </w:r>
      <w:r w:rsidRPr="00625AC0">
        <w:rPr>
          <w:rFonts w:asciiTheme="minorHAnsi" w:hAnsiTheme="minorHAnsi" w:cstheme="minorHAnsi"/>
          <w:spacing w:val="-1"/>
          <w:sz w:val="24"/>
          <w:szCs w:val="24"/>
        </w:rPr>
        <w:t>Certificate</w:t>
      </w:r>
    </w:p>
    <w:p w:rsidR="00AE5B23" w:rsidRPr="00625AC0" w:rsidRDefault="00AE5B2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AE5B2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AE5B2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BodyText"/>
        <w:tabs>
          <w:tab w:val="left" w:pos="3209"/>
        </w:tabs>
        <w:spacing w:before="1"/>
        <w:ind w:left="1745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SUBJECT: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ab/>
        <w:t>CERTIFICATE IN SAFETY</w:t>
      </w:r>
      <w:r w:rsidRPr="00625AC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OPERATIONS</w:t>
      </w:r>
    </w:p>
    <w:p w:rsidR="00AE5B23" w:rsidRPr="00625AC0" w:rsidRDefault="00AE5B2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BodyText"/>
        <w:spacing w:before="194" w:line="223" w:lineRule="auto"/>
        <w:ind w:left="1742" w:right="967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The following policy statement, recommended by the Academic Senate at its meeting of February 9, 1978, and approved by the President on May 26, 1978, is as</w:t>
      </w:r>
      <w:r w:rsidRPr="00625AC0">
        <w:rPr>
          <w:rFonts w:asciiTheme="minorHAnsi" w:hAnsiTheme="minorHAnsi" w:cstheme="minorHAnsi"/>
          <w:spacing w:val="-51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follows:</w:t>
      </w:r>
    </w:p>
    <w:p w:rsidR="00AE5B23" w:rsidRPr="00625AC0" w:rsidRDefault="00AE5B2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AE5B23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BodyText"/>
        <w:spacing w:before="1" w:line="220" w:lineRule="auto"/>
        <w:ind w:left="1732" w:right="437" w:firstLine="10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The Certificate Program in Safety Operations is designed to prepare students for Safety p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 xml:space="preserve">ositions that require a strong background in the technology of safe industrial environments. Examples of this kind of position are manufacturer's safety representative, manufacturing facilities safety analyst, traffic safety analyst, and representative of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California and Federal agencies involving Public Safety (e.g. OSHA).</w:t>
      </w:r>
    </w:p>
    <w:p w:rsidR="00AE5B23" w:rsidRPr="00625AC0" w:rsidRDefault="00AE5B2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BodyText"/>
        <w:spacing w:line="223" w:lineRule="auto"/>
        <w:ind w:left="1734" w:right="678" w:firstLine="7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This interdisciplinary program provides a student with a depth of technical training in safety, related technical courses, and also provides the student with experiences in human resourc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es management necessary to effectively supervise safety</w:t>
      </w:r>
      <w:r w:rsidRPr="00625AC0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programs.</w:t>
      </w:r>
    </w:p>
    <w:p w:rsidR="00AE5B23" w:rsidRPr="00625AC0" w:rsidRDefault="00AE5B2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BodyText"/>
        <w:ind w:left="1748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  <w:u w:val="thick"/>
        </w:rPr>
        <w:t>Requirements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  <w:u w:val="thick"/>
        </w:rPr>
        <w:t>for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  <w:u w:val="thick"/>
        </w:rPr>
        <w:t>the Certificate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  <w:u w:val="thick"/>
        </w:rPr>
        <w:t>in Safety Operations:</w:t>
      </w:r>
    </w:p>
    <w:p w:rsidR="00AE5B23" w:rsidRPr="00625AC0" w:rsidRDefault="00625AC0">
      <w:pPr>
        <w:pStyle w:val="BodyText"/>
        <w:tabs>
          <w:tab w:val="left" w:pos="2471"/>
        </w:tabs>
        <w:spacing w:before="221" w:line="225" w:lineRule="auto"/>
        <w:ind w:left="2466" w:right="1254" w:hanging="705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ab/>
      </w:r>
      <w:r w:rsidRPr="00625AC0">
        <w:rPr>
          <w:rFonts w:asciiTheme="minorHAnsi" w:hAnsiTheme="minorHAnsi" w:cstheme="minorHAnsi"/>
          <w:w w:val="105"/>
          <w:sz w:val="24"/>
          <w:szCs w:val="24"/>
        </w:rPr>
        <w:tab/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The Certificate in Safety Operations may be earned concurrently with or subsequent to the baccalaureate degree.</w:t>
      </w:r>
    </w:p>
    <w:p w:rsidR="00AE5B23" w:rsidRPr="00625AC0" w:rsidRDefault="00AE5B2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ListParagraph"/>
        <w:numPr>
          <w:ilvl w:val="0"/>
          <w:numId w:val="1"/>
        </w:numPr>
        <w:tabs>
          <w:tab w:val="left" w:pos="2471"/>
          <w:tab w:val="left" w:pos="2472"/>
        </w:tabs>
        <w:spacing w:line="225" w:lineRule="auto"/>
        <w:ind w:right="1095" w:hanging="732"/>
        <w:jc w:val="left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This program is open to all majors who have fulfilled the required prerequisites as stated in Item</w:t>
      </w:r>
      <w:r w:rsidRPr="00625AC0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3a.</w:t>
      </w:r>
    </w:p>
    <w:p w:rsidR="00AE5B23" w:rsidRPr="00625AC0" w:rsidRDefault="00AE5B23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ListParagraph"/>
        <w:numPr>
          <w:ilvl w:val="0"/>
          <w:numId w:val="1"/>
        </w:numPr>
        <w:tabs>
          <w:tab w:val="left" w:pos="2471"/>
          <w:tab w:val="left" w:pos="2472"/>
        </w:tabs>
        <w:spacing w:line="218" w:lineRule="auto"/>
        <w:ind w:left="2473" w:right="1106" w:hanging="730"/>
        <w:jc w:val="left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The program requires a total of 24 units as specified in Items 3b and</w:t>
      </w:r>
      <w:r w:rsidRPr="00625AC0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3c.</w:t>
      </w:r>
    </w:p>
    <w:p w:rsidR="00AE5B23" w:rsidRPr="00625AC0" w:rsidRDefault="00AE5B2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ListParagraph"/>
        <w:numPr>
          <w:ilvl w:val="1"/>
          <w:numId w:val="1"/>
        </w:numPr>
        <w:tabs>
          <w:tab w:val="left" w:pos="3057"/>
          <w:tab w:val="left" w:pos="9017"/>
        </w:tabs>
        <w:spacing w:before="1" w:line="223" w:lineRule="auto"/>
        <w:ind w:right="794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The completion of supporting technical courses chosen in consultation with</w:t>
      </w:r>
      <w:r w:rsidRPr="00625AC0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 xml:space="preserve"> advisor: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ab/>
        <w:t>Industrial Technology 301, Physics l00A-B or equivalent, Chemistry 100 or equivalent, Accounting 202 or equivalent, and Mathematics 102 or</w:t>
      </w:r>
      <w:r w:rsidRPr="00625AC0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equivalent.</w:t>
      </w:r>
    </w:p>
    <w:p w:rsidR="00AE5B23" w:rsidRPr="00625AC0" w:rsidRDefault="00625AC0">
      <w:pPr>
        <w:pStyle w:val="ListParagraph"/>
        <w:numPr>
          <w:ilvl w:val="1"/>
          <w:numId w:val="1"/>
        </w:numPr>
        <w:tabs>
          <w:tab w:val="left" w:pos="3057"/>
          <w:tab w:val="left" w:pos="6416"/>
        </w:tabs>
        <w:spacing w:before="221" w:line="225" w:lineRule="auto"/>
        <w:ind w:left="3060" w:hanging="593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The following 21 units of Safety-Operations-oriented courses</w:t>
      </w:r>
      <w:r w:rsidRPr="00625AC0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625AC0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required: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ab/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Industrial Technology 301, 307, 308, 309, 310, 369, and</w:t>
      </w:r>
      <w:r w:rsidRPr="00625AC0">
        <w:rPr>
          <w:rFonts w:asciiTheme="minorHAnsi" w:hAnsiTheme="minorHAnsi" w:cstheme="minorHAnsi"/>
          <w:spacing w:val="-50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402.</w:t>
      </w:r>
    </w:p>
    <w:p w:rsidR="00AE5B23" w:rsidRPr="00625AC0" w:rsidRDefault="00625AC0">
      <w:pPr>
        <w:pStyle w:val="BodyText"/>
        <w:ind w:left="524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001788" cy="150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78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23" w:rsidRPr="00625AC0" w:rsidRDefault="00625AC0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348291</wp:posOffset>
            </wp:positionH>
            <wp:positionV relativeFrom="paragraph">
              <wp:posOffset>168342</wp:posOffset>
            </wp:positionV>
            <wp:extent cx="782217" cy="1600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217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AC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105404</wp:posOffset>
            </wp:positionH>
            <wp:positionV relativeFrom="paragraph">
              <wp:posOffset>521033</wp:posOffset>
            </wp:positionV>
            <wp:extent cx="1408907" cy="16459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90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B23" w:rsidRPr="00625AC0" w:rsidRDefault="00AE5B2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AE5B23">
      <w:pPr>
        <w:rPr>
          <w:rFonts w:asciiTheme="minorHAnsi" w:hAnsiTheme="minorHAnsi" w:cstheme="minorHAnsi"/>
          <w:sz w:val="24"/>
          <w:szCs w:val="24"/>
        </w:rPr>
        <w:sectPr w:rsidR="00AE5B23" w:rsidRPr="00625AC0">
          <w:type w:val="continuous"/>
          <w:pgSz w:w="12220" w:h="15670"/>
          <w:pgMar w:top="780" w:right="880" w:bottom="0" w:left="60" w:header="720" w:footer="720" w:gutter="0"/>
          <w:cols w:space="720"/>
        </w:sectPr>
      </w:pPr>
    </w:p>
    <w:p w:rsidR="00AE5B23" w:rsidRPr="00625AC0" w:rsidRDefault="00625AC0">
      <w:pPr>
        <w:pStyle w:val="BodyText"/>
        <w:spacing w:before="82"/>
        <w:ind w:left="6010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10"/>
          <w:sz w:val="24"/>
          <w:szCs w:val="24"/>
        </w:rPr>
        <w:lastRenderedPageBreak/>
        <w:t>-2-</w:t>
      </w:r>
    </w:p>
    <w:p w:rsidR="00AE5B23" w:rsidRPr="00625AC0" w:rsidRDefault="00AE5B2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ListParagraph"/>
        <w:numPr>
          <w:ilvl w:val="1"/>
          <w:numId w:val="1"/>
        </w:numPr>
        <w:tabs>
          <w:tab w:val="left" w:pos="3116"/>
        </w:tabs>
        <w:spacing w:before="178" w:line="225" w:lineRule="auto"/>
        <w:ind w:left="3117" w:right="1792" w:hanging="590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Completion of three units of either</w:t>
      </w:r>
      <w:r w:rsidRPr="00625AC0">
        <w:rPr>
          <w:rFonts w:asciiTheme="minorHAnsi" w:hAnsiTheme="minorHAnsi" w:cstheme="minorHAnsi"/>
          <w:spacing w:val="-61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Consumer Health, Finance 222, or MPM</w:t>
      </w:r>
      <w:r w:rsidRPr="00625AC0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360.</w:t>
      </w:r>
    </w:p>
    <w:p w:rsidR="00AE5B23" w:rsidRPr="00625AC0" w:rsidRDefault="00625AC0">
      <w:pPr>
        <w:pStyle w:val="ListParagraph"/>
        <w:numPr>
          <w:ilvl w:val="0"/>
          <w:numId w:val="1"/>
        </w:numPr>
        <w:tabs>
          <w:tab w:val="left" w:pos="2535"/>
          <w:tab w:val="left" w:pos="2536"/>
        </w:tabs>
        <w:spacing w:before="231" w:line="225" w:lineRule="auto"/>
        <w:ind w:left="2533" w:right="1222" w:hanging="712"/>
        <w:jc w:val="left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Any deviation from this program requires the</w:t>
      </w:r>
      <w:r w:rsidRPr="00625AC0">
        <w:rPr>
          <w:rFonts w:asciiTheme="minorHAnsi" w:hAnsiTheme="minorHAnsi" w:cstheme="minorHAnsi"/>
          <w:spacing w:val="-77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written permission of the program</w:t>
      </w:r>
      <w:r w:rsidRPr="00625AC0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25AC0">
        <w:rPr>
          <w:rFonts w:asciiTheme="minorHAnsi" w:hAnsiTheme="minorHAnsi" w:cstheme="minorHAnsi"/>
          <w:w w:val="105"/>
          <w:sz w:val="24"/>
          <w:szCs w:val="24"/>
        </w:rPr>
        <w:t>advisor.</w:t>
      </w:r>
    </w:p>
    <w:p w:rsidR="00AE5B23" w:rsidRPr="00625AC0" w:rsidRDefault="00AE5B2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AE5B23" w:rsidRPr="00625AC0" w:rsidRDefault="00625AC0">
      <w:pPr>
        <w:pStyle w:val="BodyText"/>
        <w:spacing w:before="228" w:line="470" w:lineRule="atLeast"/>
        <w:ind w:left="1805" w:right="6258" w:firstLine="8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 xml:space="preserve">Effective: Immediately </w:t>
      </w:r>
      <w:proofErr w:type="spellStart"/>
      <w:r w:rsidRPr="00625AC0">
        <w:rPr>
          <w:rFonts w:asciiTheme="minorHAnsi" w:hAnsiTheme="minorHAnsi" w:cstheme="minorHAnsi"/>
          <w:w w:val="105"/>
          <w:sz w:val="24"/>
          <w:szCs w:val="24"/>
        </w:rPr>
        <w:t>DEG</w:t>
      </w:r>
      <w:proofErr w:type="gramStart"/>
      <w:r w:rsidRPr="00625AC0">
        <w:rPr>
          <w:rFonts w:asciiTheme="minorHAnsi" w:hAnsiTheme="minorHAnsi" w:cstheme="minorHAnsi"/>
          <w:w w:val="105"/>
          <w:sz w:val="24"/>
          <w:szCs w:val="24"/>
        </w:rPr>
        <w:t>:bjp</w:t>
      </w:r>
      <w:bookmarkStart w:id="0" w:name="_GoBack"/>
      <w:bookmarkEnd w:id="0"/>
      <w:proofErr w:type="spellEnd"/>
      <w:proofErr w:type="gramEnd"/>
    </w:p>
    <w:p w:rsidR="00AE5B23" w:rsidRPr="00625AC0" w:rsidRDefault="00625AC0">
      <w:pPr>
        <w:pStyle w:val="BodyText"/>
        <w:spacing w:line="251" w:lineRule="exact"/>
        <w:ind w:left="1800"/>
        <w:rPr>
          <w:rFonts w:asciiTheme="minorHAnsi" w:hAnsiTheme="minorHAnsi" w:cstheme="minorHAnsi"/>
          <w:sz w:val="24"/>
          <w:szCs w:val="24"/>
        </w:rPr>
      </w:pPr>
      <w:r w:rsidRPr="00625AC0">
        <w:rPr>
          <w:rFonts w:asciiTheme="minorHAnsi" w:hAnsiTheme="minorHAnsi" w:cstheme="minorHAnsi"/>
          <w:w w:val="105"/>
          <w:sz w:val="24"/>
          <w:szCs w:val="24"/>
        </w:rPr>
        <w:t>6/7/78</w:t>
      </w:r>
    </w:p>
    <w:sectPr w:rsidR="00AE5B23" w:rsidRPr="00625AC0">
      <w:pgSz w:w="12220" w:h="15670"/>
      <w:pgMar w:top="700" w:right="88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D3988"/>
    <w:multiLevelType w:val="hybridMultilevel"/>
    <w:tmpl w:val="B86ECFDA"/>
    <w:lvl w:ilvl="0" w:tplc="94A6202A">
      <w:start w:val="2"/>
      <w:numFmt w:val="decimal"/>
      <w:lvlText w:val="%1."/>
      <w:lvlJc w:val="left"/>
      <w:pPr>
        <w:ind w:left="2478" w:hanging="725"/>
        <w:jc w:val="right"/>
      </w:pPr>
      <w:rPr>
        <w:rFonts w:ascii="Courier New" w:eastAsia="Courier New" w:hAnsi="Courier New" w:cs="Courier New" w:hint="default"/>
        <w:spacing w:val="-1"/>
        <w:w w:val="107"/>
        <w:sz w:val="23"/>
        <w:szCs w:val="23"/>
      </w:rPr>
    </w:lvl>
    <w:lvl w:ilvl="1" w:tplc="5E14AE94">
      <w:start w:val="1"/>
      <w:numFmt w:val="lowerLetter"/>
      <w:lvlText w:val="(%2)"/>
      <w:lvlJc w:val="left"/>
      <w:pPr>
        <w:ind w:left="3056" w:hanging="586"/>
        <w:jc w:val="left"/>
      </w:pPr>
      <w:rPr>
        <w:rFonts w:hint="default"/>
        <w:spacing w:val="-1"/>
        <w:w w:val="106"/>
      </w:rPr>
    </w:lvl>
    <w:lvl w:ilvl="2" w:tplc="F46A0950">
      <w:numFmt w:val="bullet"/>
      <w:lvlText w:val="•"/>
      <w:lvlJc w:val="left"/>
      <w:pPr>
        <w:ind w:left="3972" w:hanging="586"/>
      </w:pPr>
      <w:rPr>
        <w:rFonts w:hint="default"/>
      </w:rPr>
    </w:lvl>
    <w:lvl w:ilvl="3" w:tplc="898C4E30">
      <w:numFmt w:val="bullet"/>
      <w:lvlText w:val="•"/>
      <w:lvlJc w:val="left"/>
      <w:pPr>
        <w:ind w:left="4884" w:hanging="586"/>
      </w:pPr>
      <w:rPr>
        <w:rFonts w:hint="default"/>
      </w:rPr>
    </w:lvl>
    <w:lvl w:ilvl="4" w:tplc="E6D8B3D4">
      <w:numFmt w:val="bullet"/>
      <w:lvlText w:val="•"/>
      <w:lvlJc w:val="left"/>
      <w:pPr>
        <w:ind w:left="5797" w:hanging="586"/>
      </w:pPr>
      <w:rPr>
        <w:rFonts w:hint="default"/>
      </w:rPr>
    </w:lvl>
    <w:lvl w:ilvl="5" w:tplc="4F7003BC">
      <w:numFmt w:val="bullet"/>
      <w:lvlText w:val="•"/>
      <w:lvlJc w:val="left"/>
      <w:pPr>
        <w:ind w:left="6709" w:hanging="586"/>
      </w:pPr>
      <w:rPr>
        <w:rFonts w:hint="default"/>
      </w:rPr>
    </w:lvl>
    <w:lvl w:ilvl="6" w:tplc="8098AC32">
      <w:numFmt w:val="bullet"/>
      <w:lvlText w:val="•"/>
      <w:lvlJc w:val="left"/>
      <w:pPr>
        <w:ind w:left="7621" w:hanging="586"/>
      </w:pPr>
      <w:rPr>
        <w:rFonts w:hint="default"/>
      </w:rPr>
    </w:lvl>
    <w:lvl w:ilvl="7" w:tplc="89C487C0">
      <w:numFmt w:val="bullet"/>
      <w:lvlText w:val="•"/>
      <w:lvlJc w:val="left"/>
      <w:pPr>
        <w:ind w:left="8534" w:hanging="586"/>
      </w:pPr>
      <w:rPr>
        <w:rFonts w:hint="default"/>
      </w:rPr>
    </w:lvl>
    <w:lvl w:ilvl="8" w:tplc="63EA96AE">
      <w:numFmt w:val="bullet"/>
      <w:lvlText w:val="•"/>
      <w:lvlJc w:val="left"/>
      <w:pPr>
        <w:ind w:left="9446" w:hanging="5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E5B23"/>
    <w:rsid w:val="00625AC0"/>
    <w:rsid w:val="00A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D0CE"/>
  <w15:docId w15:val="{440E10C7-E69E-4714-B9C0-9DC7BFF2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473" w:right="638" w:hanging="7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>CSU Long Beach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2018-02-28T22:06:00Z</dcterms:created>
  <dcterms:modified xsi:type="dcterms:W3CDTF">2018-02-28T22:07:00Z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2017-01-24T00:00:00Z</vt:filetime>
  </property>
</Properties>
</file>