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26" w:rsidRDefault="00537926">
      <w:pPr>
        <w:rPr>
          <w:b/>
        </w:rPr>
      </w:pPr>
    </w:p>
    <w:p w:rsidR="00537926" w:rsidRDefault="00537926" w:rsidP="00537926">
      <w:pPr>
        <w:jc w:val="center"/>
        <w:rPr>
          <w:b/>
        </w:rPr>
      </w:pPr>
      <w:r w:rsidRPr="00537926">
        <w:rPr>
          <w:b/>
          <w:noProof/>
        </w:rPr>
        <w:drawing>
          <wp:inline distT="0" distB="0" distL="0" distR="0">
            <wp:extent cx="5248275" cy="332422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5578" w:rsidRDefault="00822D35" w:rsidP="00822D35">
      <w:pPr>
        <w:jc w:val="center"/>
        <w:rPr>
          <w:b/>
        </w:rPr>
      </w:pPr>
      <w:r w:rsidRPr="00822D35">
        <w:rPr>
          <w:b/>
          <w:noProof/>
        </w:rPr>
        <w:drawing>
          <wp:inline distT="0" distB="0" distL="0" distR="0">
            <wp:extent cx="4467224" cy="5143501"/>
            <wp:effectExtent l="19050" t="0" r="9526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7A3C" w:rsidRPr="00501EBD" w:rsidRDefault="005902F7">
      <w:pPr>
        <w:rPr>
          <w:b/>
        </w:rPr>
      </w:pPr>
      <w:r>
        <w:rPr>
          <w:b/>
        </w:rPr>
        <w:lastRenderedPageBreak/>
        <w:t xml:space="preserve">CUT or </w:t>
      </w:r>
      <w:r w:rsidR="007F2FEC">
        <w:rPr>
          <w:b/>
        </w:rPr>
        <w:t>SUSPEND FUNDING</w:t>
      </w:r>
      <w:r>
        <w:rPr>
          <w:b/>
        </w:rPr>
        <w:t>/</w:t>
      </w:r>
      <w:r w:rsidR="00036270">
        <w:rPr>
          <w:b/>
        </w:rPr>
        <w:t>UNDESIRABLE</w:t>
      </w:r>
      <w:r>
        <w:rPr>
          <w:b/>
        </w:rPr>
        <w:t xml:space="preserve"> OPTIONS</w:t>
      </w:r>
      <w:r w:rsidR="00457A3C" w:rsidRPr="00501EBD">
        <w:rPr>
          <w:b/>
        </w:rPr>
        <w:t>:</w:t>
      </w:r>
    </w:p>
    <w:p w:rsidR="002B473D" w:rsidRDefault="00457A3C">
      <w:r w:rsidRPr="00F42EAB">
        <w:rPr>
          <w:b/>
        </w:rPr>
        <w:t>A</w:t>
      </w:r>
      <w:r w:rsidR="006B5578">
        <w:rPr>
          <w:b/>
        </w:rPr>
        <w:t>ssigned Time</w:t>
      </w:r>
      <w:r>
        <w:t>-</w:t>
      </w:r>
      <w:r w:rsidR="00E7510C">
        <w:t>Institute</w:t>
      </w:r>
      <w:r w:rsidR="004071DF">
        <w:t xml:space="preserve"> “Federal </w:t>
      </w:r>
      <w:r w:rsidR="00E7510C">
        <w:t xml:space="preserve">Stimulus Friday’s” </w:t>
      </w:r>
      <w:r w:rsidR="006B5578">
        <w:t xml:space="preserve">(cf. Furlough days) </w:t>
      </w:r>
      <w:r w:rsidR="00E7510C">
        <w:t>and reduce</w:t>
      </w:r>
      <w:r w:rsidR="00E019F6">
        <w:t xml:space="preserve"> support for faculty advising assigned time</w:t>
      </w:r>
      <w:r w:rsidR="00391C44">
        <w:t>.</w:t>
      </w:r>
      <w:r w:rsidR="00E019F6">
        <w:t xml:space="preserve"> </w:t>
      </w:r>
    </w:p>
    <w:p w:rsidR="00427F18" w:rsidRDefault="00457A3C" w:rsidP="00427F18">
      <w:pPr>
        <w:spacing w:line="360" w:lineRule="auto"/>
      </w:pPr>
      <w:r w:rsidRPr="00427F18">
        <w:rPr>
          <w:b/>
        </w:rPr>
        <w:t>Self Support</w:t>
      </w:r>
      <w:r>
        <w:t>-</w:t>
      </w:r>
      <w:r w:rsidR="00084A95" w:rsidRPr="00084A95">
        <w:t xml:space="preserve"> </w:t>
      </w:r>
      <w:r w:rsidR="00427F18">
        <w:t>Decrease the flexibility of admitting and conferring se</w:t>
      </w:r>
      <w:r w:rsidR="00E7510C">
        <w:t>lf support degrees for those that</w:t>
      </w:r>
      <w:r w:rsidR="00427F18">
        <w:t xml:space="preserve"> do not qualify for state-side programs.</w:t>
      </w:r>
      <w:r w:rsidR="00036270">
        <w:t xml:space="preserve"> </w:t>
      </w:r>
    </w:p>
    <w:p w:rsidR="002B473D" w:rsidRDefault="00457A3C">
      <w:r w:rsidRPr="00F42EAB">
        <w:rPr>
          <w:b/>
        </w:rPr>
        <w:t>Early Retirement</w:t>
      </w:r>
      <w:r>
        <w:t>-</w:t>
      </w:r>
      <w:r w:rsidR="00036270">
        <w:t xml:space="preserve"> </w:t>
      </w:r>
      <w:r w:rsidR="005902F7">
        <w:t>Opposed to Early Retirement of Senior Faculty. Detrimental to Instructional quality</w:t>
      </w:r>
      <w:r w:rsidR="00401240">
        <w:t xml:space="preserve"> </w:t>
      </w:r>
    </w:p>
    <w:p w:rsidR="00457A3C" w:rsidRDefault="00457A3C">
      <w:r w:rsidRPr="001C3A0B">
        <w:rPr>
          <w:b/>
        </w:rPr>
        <w:t>Increase Student Fee’s</w:t>
      </w:r>
      <w:r>
        <w:t>-</w:t>
      </w:r>
      <w:r w:rsidR="002B473D">
        <w:t>Students</w:t>
      </w:r>
      <w:r>
        <w:t xml:space="preserve"> </w:t>
      </w:r>
      <w:r w:rsidR="00E7510C">
        <w:t xml:space="preserve">in </w:t>
      </w:r>
      <w:r>
        <w:t xml:space="preserve">attendance </w:t>
      </w:r>
      <w:r w:rsidR="002B473D">
        <w:t>concerned about</w:t>
      </w:r>
      <w:r>
        <w:t xml:space="preserve"> an increase in </w:t>
      </w:r>
      <w:r w:rsidR="007F2FEC">
        <w:t>student fees/ tuition</w:t>
      </w:r>
      <w:r w:rsidR="002B473D">
        <w:t>.</w:t>
      </w:r>
      <w:r>
        <w:t xml:space="preserve"> </w:t>
      </w:r>
      <w:r w:rsidR="002B473D">
        <w:t xml:space="preserve">Many felt it would be </w:t>
      </w:r>
      <w:r>
        <w:t>“counterproductive to the overal</w:t>
      </w:r>
      <w:r w:rsidR="00CC5040">
        <w:t>l mission of the university” to increase fees.</w:t>
      </w:r>
    </w:p>
    <w:p w:rsidR="00480406" w:rsidRDefault="00E019F6">
      <w:r w:rsidRPr="001C3A0B">
        <w:rPr>
          <w:b/>
        </w:rPr>
        <w:t>Administrative support</w:t>
      </w:r>
      <w:r>
        <w:t xml:space="preserve">-Cut administrative </w:t>
      </w:r>
      <w:r w:rsidR="00480406">
        <w:t>support</w:t>
      </w:r>
      <w:r>
        <w:t xml:space="preserve"> and</w:t>
      </w:r>
      <w:r w:rsidR="00480406">
        <w:t>/or</w:t>
      </w:r>
      <w:r>
        <w:t xml:space="preserve"> support staff</w:t>
      </w:r>
      <w:r w:rsidR="00480406">
        <w:t>.</w:t>
      </w:r>
    </w:p>
    <w:p w:rsidR="0010412E" w:rsidRDefault="0075495D">
      <w:r w:rsidRPr="001C3A0B">
        <w:rPr>
          <w:b/>
        </w:rPr>
        <w:t>Technology expenses or Hybrid Course offerings</w:t>
      </w:r>
      <w:r>
        <w:t xml:space="preserve">- </w:t>
      </w:r>
      <w:r w:rsidR="005902F7">
        <w:t xml:space="preserve">Should not be a priority. </w:t>
      </w:r>
      <w:r w:rsidR="001C3A0B">
        <w:t xml:space="preserve">University is “empire building” with “too much specialization.” </w:t>
      </w:r>
    </w:p>
    <w:p w:rsidR="001C3A0B" w:rsidRDefault="0075495D">
      <w:r w:rsidRPr="001C3A0B">
        <w:rPr>
          <w:b/>
        </w:rPr>
        <w:t xml:space="preserve"> </w:t>
      </w:r>
      <w:r w:rsidR="0010412E" w:rsidRPr="001C3A0B">
        <w:rPr>
          <w:b/>
        </w:rPr>
        <w:t>Cut/ Suspend Athleti</w:t>
      </w:r>
      <w:r w:rsidR="001C3A0B" w:rsidRPr="001C3A0B">
        <w:rPr>
          <w:b/>
        </w:rPr>
        <w:t>cs-</w:t>
      </w:r>
      <w:r w:rsidR="0010412E">
        <w:t xml:space="preserve"> Some questioned the </w:t>
      </w:r>
      <w:r w:rsidR="00CC5040">
        <w:t>value</w:t>
      </w:r>
      <w:r w:rsidR="0010412E">
        <w:t xml:space="preserve"> of </w:t>
      </w:r>
      <w:r w:rsidR="00CC5040">
        <w:t>athletics during</w:t>
      </w:r>
      <w:r w:rsidR="004071DF">
        <w:t xml:space="preserve"> </w:t>
      </w:r>
      <w:r w:rsidR="00CC5040">
        <w:t>budget crisis</w:t>
      </w:r>
      <w:r w:rsidR="001C3A0B">
        <w:t>.</w:t>
      </w:r>
    </w:p>
    <w:p w:rsidR="00CC5040" w:rsidRDefault="001C3A0B">
      <w:r w:rsidRPr="001C3A0B">
        <w:rPr>
          <w:b/>
        </w:rPr>
        <w:t>Student Retention-</w:t>
      </w:r>
      <w:r w:rsidR="003B4A60">
        <w:t xml:space="preserve"> Remove academically low performing student</w:t>
      </w:r>
      <w:r w:rsidR="003B4A60" w:rsidRPr="00CC5040">
        <w:rPr>
          <w:i/>
        </w:rPr>
        <w:t>s</w:t>
      </w:r>
      <w:r w:rsidR="00CC5040">
        <w:t>.</w:t>
      </w:r>
    </w:p>
    <w:p w:rsidR="003B4A60" w:rsidRDefault="001C3A0B">
      <w:r w:rsidRPr="001C3A0B">
        <w:rPr>
          <w:b/>
        </w:rPr>
        <w:t>FTES-</w:t>
      </w:r>
      <w:r w:rsidR="003B4A60">
        <w:t xml:space="preserve">Support younger </w:t>
      </w:r>
      <w:r>
        <w:t>staff</w:t>
      </w:r>
      <w:r w:rsidR="003B4A60">
        <w:t xml:space="preserve"> and lecturers vs. FTES-</w:t>
      </w:r>
      <w:r w:rsidR="007F2FEC">
        <w:t xml:space="preserve"> I</w:t>
      </w:r>
      <w:r w:rsidR="003B4A60">
        <w:t xml:space="preserve">t </w:t>
      </w:r>
      <w:proofErr w:type="gramStart"/>
      <w:r w:rsidR="003B4A60">
        <w:t>is</w:t>
      </w:r>
      <w:proofErr w:type="gramEnd"/>
      <w:r w:rsidR="003B4A60">
        <w:t xml:space="preserve"> more efficient</w:t>
      </w:r>
      <w:r w:rsidR="004071DF">
        <w:t xml:space="preserve"> and cost effective</w:t>
      </w:r>
      <w:r w:rsidR="003B4A60">
        <w:t>.</w:t>
      </w:r>
    </w:p>
    <w:p w:rsidR="00A552F5" w:rsidRDefault="003B4A60" w:rsidP="005902F7">
      <w:r w:rsidRPr="001C3A0B">
        <w:rPr>
          <w:b/>
        </w:rPr>
        <w:t>Campus Communication (Consoli</w:t>
      </w:r>
      <w:r w:rsidR="001C3A0B" w:rsidRPr="001C3A0B">
        <w:rPr>
          <w:b/>
        </w:rPr>
        <w:t>date, Streamline)/Centralize IT-</w:t>
      </w:r>
      <w:r>
        <w:t xml:space="preserve"> Some faculty and staff believed campus communication is successful or adequate the way it is</w:t>
      </w:r>
      <w:r w:rsidR="005902F7">
        <w:t xml:space="preserve">. </w:t>
      </w:r>
      <w:r w:rsidR="004071DF">
        <w:t>“</w:t>
      </w:r>
      <w:r w:rsidR="00A552F5">
        <w:t>Each college department deserves to have their own method of communication</w:t>
      </w:r>
      <w:r w:rsidR="005902F7">
        <w:t>.</w:t>
      </w:r>
      <w:r w:rsidR="004071DF">
        <w:t>”</w:t>
      </w:r>
      <w:r w:rsidR="005902F7">
        <w:t xml:space="preserve"> </w:t>
      </w:r>
      <w:r w:rsidR="004071DF">
        <w:t>“</w:t>
      </w:r>
      <w:r w:rsidR="00A552F5">
        <w:t xml:space="preserve">Streamlining communication is costly in time </w:t>
      </w:r>
      <w:r w:rsidR="004071DF">
        <w:t>or counterproductive”</w:t>
      </w:r>
    </w:p>
    <w:p w:rsidR="00A552F5" w:rsidRDefault="00A552F5" w:rsidP="00A552F5">
      <w:r w:rsidRPr="00344544">
        <w:rPr>
          <w:b/>
        </w:rPr>
        <w:t>Int</w:t>
      </w:r>
      <w:r w:rsidR="00344544" w:rsidRPr="00344544">
        <w:rPr>
          <w:b/>
        </w:rPr>
        <w:t>ernational Student Recruitment-</w:t>
      </w:r>
      <w:r w:rsidR="00036270">
        <w:t xml:space="preserve">Do not </w:t>
      </w:r>
      <w:proofErr w:type="gramStart"/>
      <w:r w:rsidR="00036270">
        <w:t>increase</w:t>
      </w:r>
      <w:proofErr w:type="gramEnd"/>
      <w:r>
        <w:t xml:space="preserve"> the percentage </w:t>
      </w:r>
      <w:r w:rsidR="00DF08CF">
        <w:t xml:space="preserve">enrollment </w:t>
      </w:r>
      <w:r>
        <w:t xml:space="preserve">of international students </w:t>
      </w:r>
      <w:r w:rsidR="007F2FEC">
        <w:t>admitted</w:t>
      </w:r>
      <w:r>
        <w:t xml:space="preserve"> to the </w:t>
      </w:r>
      <w:r w:rsidR="00DF08CF">
        <w:t>CSU campus</w:t>
      </w:r>
      <w:r w:rsidR="00036270">
        <w:t>. Detrimental to local students</w:t>
      </w:r>
    </w:p>
    <w:p w:rsidR="00A552F5" w:rsidRDefault="00DF08CF" w:rsidP="00A552F5">
      <w:r w:rsidRPr="00344544">
        <w:rPr>
          <w:b/>
        </w:rPr>
        <w:t>Enrollment, retention, course offe</w:t>
      </w:r>
      <w:r w:rsidR="00344544" w:rsidRPr="00344544">
        <w:rPr>
          <w:b/>
        </w:rPr>
        <w:t>rings, and class sizes-</w:t>
      </w:r>
      <w:r>
        <w:t xml:space="preserve"> Reduce enrollment across the board or per department or based on student performance.</w:t>
      </w:r>
    </w:p>
    <w:p w:rsidR="008A255B" w:rsidRDefault="00344544" w:rsidP="00A552F5">
      <w:r w:rsidRPr="00344544">
        <w:rPr>
          <w:b/>
        </w:rPr>
        <w:t>SCAC-</w:t>
      </w:r>
      <w:r w:rsidR="00036270">
        <w:t>Allow t</w:t>
      </w:r>
      <w:r w:rsidR="007F2FEC">
        <w:t>emporar</w:t>
      </w:r>
      <w:r w:rsidR="008A255B">
        <w:t>y c</w:t>
      </w:r>
      <w:r w:rsidR="00F16059">
        <w:t>ut</w:t>
      </w:r>
      <w:r w:rsidR="008A255B">
        <w:t>s in</w:t>
      </w:r>
      <w:r w:rsidR="00F16059">
        <w:t xml:space="preserve"> funding for scholarly research and </w:t>
      </w:r>
      <w:r w:rsidR="008A255B">
        <w:t xml:space="preserve">support; </w:t>
      </w:r>
      <w:r w:rsidR="00CC5040">
        <w:t>however concern</w:t>
      </w:r>
      <w:r w:rsidR="00036270">
        <w:t xml:space="preserve"> that </w:t>
      </w:r>
      <w:r w:rsidR="007F2FEC">
        <w:t>“</w:t>
      </w:r>
      <w:r w:rsidR="008A255B">
        <w:t>this may lead to long term impacts</w:t>
      </w:r>
      <w:r w:rsidR="00F16059">
        <w:t>.</w:t>
      </w:r>
      <w:r w:rsidR="007F2FEC">
        <w:t>”</w:t>
      </w:r>
    </w:p>
    <w:p w:rsidR="00537926" w:rsidRDefault="00F16059" w:rsidP="00A552F5">
      <w:r>
        <w:t xml:space="preserve"> </w:t>
      </w:r>
      <w:r w:rsidR="008A255B" w:rsidRPr="00427F18">
        <w:rPr>
          <w:b/>
        </w:rPr>
        <w:t>Summer Enrollment</w:t>
      </w:r>
      <w:r w:rsidR="00427F18">
        <w:rPr>
          <w:b/>
        </w:rPr>
        <w:t>-</w:t>
      </w:r>
      <w:r w:rsidR="008A255B">
        <w:t xml:space="preserve"> Temporarily suspend summer enrollment.</w:t>
      </w:r>
    </w:p>
    <w:p w:rsidR="00537926" w:rsidRDefault="00537926" w:rsidP="00537926">
      <w:pPr>
        <w:jc w:val="center"/>
        <w:rPr>
          <w:b/>
        </w:rPr>
      </w:pPr>
      <w:r w:rsidRPr="00537926">
        <w:rPr>
          <w:b/>
          <w:noProof/>
        </w:rPr>
        <w:lastRenderedPageBreak/>
        <w:drawing>
          <wp:inline distT="0" distB="0" distL="0" distR="0">
            <wp:extent cx="5495925" cy="37242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7926" w:rsidRDefault="00822D35" w:rsidP="00B426B8">
      <w:pPr>
        <w:jc w:val="center"/>
        <w:rPr>
          <w:b/>
        </w:rPr>
      </w:pPr>
      <w:r w:rsidRPr="00822D35">
        <w:rPr>
          <w:b/>
          <w:noProof/>
        </w:rPr>
        <w:drawing>
          <wp:inline distT="0" distB="0" distL="0" distR="0">
            <wp:extent cx="5943600" cy="3226435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7926" w:rsidRDefault="00537926" w:rsidP="00A552F5">
      <w:pPr>
        <w:rPr>
          <w:b/>
        </w:rPr>
      </w:pPr>
    </w:p>
    <w:p w:rsidR="00627D57" w:rsidRDefault="00627D57" w:rsidP="00A552F5">
      <w:pPr>
        <w:rPr>
          <w:b/>
        </w:rPr>
      </w:pPr>
    </w:p>
    <w:p w:rsidR="006B5578" w:rsidRDefault="006B5578">
      <w:pPr>
        <w:rPr>
          <w:b/>
        </w:rPr>
      </w:pPr>
      <w:r>
        <w:rPr>
          <w:b/>
        </w:rPr>
        <w:br w:type="page"/>
      </w:r>
    </w:p>
    <w:p w:rsidR="008A255B" w:rsidRPr="00501EBD" w:rsidRDefault="00AA4F1D" w:rsidP="00A552F5">
      <w:pPr>
        <w:rPr>
          <w:b/>
        </w:rPr>
      </w:pPr>
      <w:r w:rsidRPr="00501EBD">
        <w:rPr>
          <w:b/>
        </w:rPr>
        <w:lastRenderedPageBreak/>
        <w:t>S</w:t>
      </w:r>
      <w:r w:rsidR="0012556B" w:rsidRPr="00501EBD">
        <w:rPr>
          <w:b/>
        </w:rPr>
        <w:t>UPPORT</w:t>
      </w:r>
      <w:r w:rsidRPr="00501EBD">
        <w:rPr>
          <w:b/>
        </w:rPr>
        <w:t>:</w:t>
      </w:r>
    </w:p>
    <w:p w:rsidR="00AA4F1D" w:rsidRDefault="00627D57" w:rsidP="00A552F5">
      <w:r w:rsidRPr="00627D57">
        <w:rPr>
          <w:b/>
        </w:rPr>
        <w:t>Grants-</w:t>
      </w:r>
      <w:r w:rsidR="00AA4F1D">
        <w:t xml:space="preserve"> Seek grant support, private donors</w:t>
      </w:r>
      <w:r w:rsidR="00532FE6">
        <w:t>, fundraising endeavors</w:t>
      </w:r>
      <w:r w:rsidR="00AA4F1D">
        <w:t xml:space="preserve">, etc. </w:t>
      </w:r>
    </w:p>
    <w:p w:rsidR="00532FE6" w:rsidRDefault="00627D57" w:rsidP="00A552F5">
      <w:r w:rsidRPr="00627D57">
        <w:rPr>
          <w:b/>
        </w:rPr>
        <w:t>Early Retirement-</w:t>
      </w:r>
      <w:r w:rsidR="00AA4F1D">
        <w:t xml:space="preserve"> </w:t>
      </w:r>
      <w:r w:rsidR="00036270">
        <w:t>Support “</w:t>
      </w:r>
      <w:r w:rsidR="00391C44">
        <w:t>golden handshake</w:t>
      </w:r>
      <w:r w:rsidR="00AA4F1D">
        <w:t>”</w:t>
      </w:r>
      <w:r w:rsidR="00391C44">
        <w:t xml:space="preserve"> clause or early </w:t>
      </w:r>
      <w:proofErr w:type="gramStart"/>
      <w:r w:rsidR="00391C44">
        <w:t>retirement</w:t>
      </w:r>
      <w:r w:rsidR="00476BF5">
        <w:t xml:space="preserve"> </w:t>
      </w:r>
      <w:r w:rsidR="00CC5040">
        <w:t>;</w:t>
      </w:r>
      <w:proofErr w:type="gramEnd"/>
      <w:r w:rsidR="00CC5040">
        <w:t xml:space="preserve"> </w:t>
      </w:r>
      <w:r w:rsidR="00476BF5">
        <w:t>the turnover from</w:t>
      </w:r>
      <w:r w:rsidR="00AA4F1D">
        <w:t xml:space="preserve"> experienced faculty to newer faculty may increase campus diversity</w:t>
      </w:r>
      <w:r w:rsidR="00391C44">
        <w:t xml:space="preserve"> and </w:t>
      </w:r>
      <w:r w:rsidR="00036270">
        <w:t xml:space="preserve"> generate </w:t>
      </w:r>
      <w:r w:rsidR="00391C44">
        <w:t>savings.</w:t>
      </w:r>
      <w:r w:rsidR="0012556B">
        <w:t xml:space="preserve"> </w:t>
      </w:r>
    </w:p>
    <w:p w:rsidR="0012556B" w:rsidRDefault="006B5578" w:rsidP="00A552F5">
      <w:proofErr w:type="gramStart"/>
      <w:r>
        <w:rPr>
          <w:b/>
        </w:rPr>
        <w:t>Assigned Time</w:t>
      </w:r>
      <w:r w:rsidR="00627D57" w:rsidRPr="00627D57">
        <w:rPr>
          <w:b/>
        </w:rPr>
        <w:t>-</w:t>
      </w:r>
      <w:r w:rsidR="0012556B">
        <w:t xml:space="preserve"> </w:t>
      </w:r>
      <w:r w:rsidR="00036270">
        <w:t xml:space="preserve">Support </w:t>
      </w:r>
      <w:r w:rsidR="0012556B">
        <w:t xml:space="preserve">Assigned time </w:t>
      </w:r>
      <w:r w:rsidR="00036270">
        <w:t xml:space="preserve">for advising; </w:t>
      </w:r>
      <w:r w:rsidR="0012556B">
        <w:t>benefits retention and overall success of students.</w:t>
      </w:r>
      <w:proofErr w:type="gramEnd"/>
    </w:p>
    <w:p w:rsidR="0012556B" w:rsidRPr="00036270" w:rsidRDefault="00627D57" w:rsidP="00036270">
      <w:pPr>
        <w:rPr>
          <w:b/>
        </w:rPr>
      </w:pPr>
      <w:r w:rsidRPr="00627D57">
        <w:rPr>
          <w:b/>
        </w:rPr>
        <w:t>Self Support</w:t>
      </w:r>
      <w:proofErr w:type="gramStart"/>
      <w:r w:rsidRPr="00627D57">
        <w:rPr>
          <w:b/>
        </w:rPr>
        <w:t>-</w:t>
      </w:r>
      <w:r w:rsidR="0012556B" w:rsidRPr="00627D57">
        <w:rPr>
          <w:b/>
        </w:rPr>
        <w:t xml:space="preserve"> </w:t>
      </w:r>
      <w:r w:rsidR="0012556B">
        <w:t xml:space="preserve"> Establish</w:t>
      </w:r>
      <w:proofErr w:type="gramEnd"/>
      <w:r w:rsidR="0012556B">
        <w:t xml:space="preserve"> a self support office in each college to provide instruction at SS rates to non-admitted but fully CSU qualified transfer students.</w:t>
      </w:r>
      <w:r w:rsidR="00036270">
        <w:rPr>
          <w:b/>
        </w:rPr>
        <w:t xml:space="preserve"> </w:t>
      </w:r>
      <w:r w:rsidR="0012556B">
        <w:t>Work with registration, the BOT and the CSU to allow greater flexibility in admitting and conferring self support degrees for those who do not qualify for state-side programs.</w:t>
      </w:r>
    </w:p>
    <w:p w:rsidR="00C56FB9" w:rsidRDefault="0012556B" w:rsidP="0012556B">
      <w:pPr>
        <w:spacing w:line="360" w:lineRule="auto"/>
      </w:pPr>
      <w:r w:rsidRPr="00627D57">
        <w:rPr>
          <w:b/>
        </w:rPr>
        <w:t>Technol</w:t>
      </w:r>
      <w:r w:rsidR="00627D57" w:rsidRPr="00627D57">
        <w:rPr>
          <w:b/>
        </w:rPr>
        <w:t>ogy Expenses or Hybrid Courses-</w:t>
      </w:r>
      <w:r>
        <w:t xml:space="preserve">Hybrid course offerings would maintain or increase enrollment of students that have difficulty making it </w:t>
      </w:r>
      <w:r w:rsidR="00213CC5">
        <w:t>on campus. This encourages independent study and may assist in</w:t>
      </w:r>
      <w:r w:rsidR="00476BF5">
        <w:t xml:space="preserve"> the reduction of long term</w:t>
      </w:r>
      <w:r w:rsidR="00213CC5">
        <w:t xml:space="preserve"> </w:t>
      </w:r>
      <w:r w:rsidR="00C56FB9">
        <w:t>expenses on new technology.</w:t>
      </w:r>
    </w:p>
    <w:p w:rsidR="0012556B" w:rsidRDefault="00627D57" w:rsidP="0012556B">
      <w:pPr>
        <w:spacing w:line="360" w:lineRule="auto"/>
      </w:pPr>
      <w:r w:rsidRPr="00627D57">
        <w:rPr>
          <w:b/>
        </w:rPr>
        <w:t>Consolidate/ streamline-</w:t>
      </w:r>
      <w:r w:rsidR="00213CC5">
        <w:t xml:space="preserve"> </w:t>
      </w:r>
      <w:r w:rsidR="00C56FB9">
        <w:t xml:space="preserve">Centralizing IT or streamlining communication to create an entirely online communication </w:t>
      </w:r>
      <w:r w:rsidR="00476BF5">
        <w:t>network</w:t>
      </w:r>
      <w:r w:rsidR="00C56FB9">
        <w:t xml:space="preserve"> provided to students and faculty makes sense</w:t>
      </w:r>
      <w:r w:rsidR="00476BF5">
        <w:t xml:space="preserve">; </w:t>
      </w:r>
      <w:r w:rsidR="00760EC4">
        <w:t>it</w:t>
      </w:r>
      <w:r w:rsidR="00476BF5">
        <w:t xml:space="preserve"> is </w:t>
      </w:r>
      <w:r w:rsidR="00760EC4">
        <w:t>a great way to reduce</w:t>
      </w:r>
      <w:r w:rsidR="00C56FB9">
        <w:t xml:space="preserve"> the economic and environmental cost of paper. </w:t>
      </w:r>
    </w:p>
    <w:p w:rsidR="00C56FB9" w:rsidRDefault="00627D57" w:rsidP="0012556B">
      <w:pPr>
        <w:spacing w:line="360" w:lineRule="auto"/>
      </w:pPr>
      <w:r w:rsidRPr="00627D57">
        <w:rPr>
          <w:b/>
        </w:rPr>
        <w:t>Athletics-</w:t>
      </w:r>
      <w:r w:rsidR="00E7510C">
        <w:t xml:space="preserve"> Continue s</w:t>
      </w:r>
      <w:r w:rsidR="00C56FB9">
        <w:t>upport</w:t>
      </w:r>
      <w:r w:rsidR="00E7510C">
        <w:t xml:space="preserve"> for</w:t>
      </w:r>
      <w:r w:rsidR="00C56FB9">
        <w:t xml:space="preserve"> athletics</w:t>
      </w:r>
    </w:p>
    <w:p w:rsidR="00C56FB9" w:rsidRDefault="00627D57" w:rsidP="0012556B">
      <w:pPr>
        <w:spacing w:line="360" w:lineRule="auto"/>
      </w:pPr>
      <w:r w:rsidRPr="00627D57">
        <w:rPr>
          <w:b/>
        </w:rPr>
        <w:t>Increase student fees-</w:t>
      </w:r>
      <w:r w:rsidR="00C56FB9">
        <w:t xml:space="preserve"> The cost of enrollment </w:t>
      </w:r>
      <w:r w:rsidR="00903FBD">
        <w:t>at</w:t>
      </w:r>
      <w:r w:rsidR="00C56FB9">
        <w:t xml:space="preserve"> a CSU is</w:t>
      </w:r>
      <w:r w:rsidR="00903FBD">
        <w:t xml:space="preserve"> still affordable in comparison to the National</w:t>
      </w:r>
      <w:r w:rsidR="00760EC4">
        <w:t xml:space="preserve"> A</w:t>
      </w:r>
      <w:r w:rsidR="00C56FB9">
        <w:t xml:space="preserve">verage </w:t>
      </w:r>
      <w:r w:rsidR="00760EC4">
        <w:t>state college tuition; transferring</w:t>
      </w:r>
      <w:r w:rsidR="00C56FB9">
        <w:t xml:space="preserve"> the cost to students </w:t>
      </w:r>
      <w:r w:rsidR="00760EC4">
        <w:t xml:space="preserve">in comparison to </w:t>
      </w:r>
      <w:r w:rsidR="00C56FB9">
        <w:t>reducing faculty and staff support makes sense</w:t>
      </w:r>
      <w:r w:rsidR="00760EC4">
        <w:t xml:space="preserve"> to the preservation of quality education and services</w:t>
      </w:r>
      <w:r w:rsidR="00C56FB9">
        <w:t xml:space="preserve">.  </w:t>
      </w:r>
    </w:p>
    <w:p w:rsidR="00903FBD" w:rsidRDefault="00627D57" w:rsidP="0012556B">
      <w:pPr>
        <w:spacing w:line="360" w:lineRule="auto"/>
      </w:pPr>
      <w:r w:rsidRPr="00627D57">
        <w:rPr>
          <w:b/>
        </w:rPr>
        <w:t>SCAC-</w:t>
      </w:r>
      <w:r w:rsidR="00903FBD">
        <w:t>Scholarly and creative support maintains a level of excell</w:t>
      </w:r>
      <w:r w:rsidR="00760EC4">
        <w:t>ence for the CSU campus and places</w:t>
      </w:r>
      <w:r w:rsidR="00903FBD">
        <w:t xml:space="preserve"> the University at a more competitive </w:t>
      </w:r>
      <w:r w:rsidR="00760EC4">
        <w:t>edge</w:t>
      </w:r>
      <w:r w:rsidR="00903FBD">
        <w:t xml:space="preserve"> with </w:t>
      </w:r>
      <w:r w:rsidR="00152BAB">
        <w:t xml:space="preserve">other </w:t>
      </w:r>
      <w:r w:rsidR="00903FBD">
        <w:t xml:space="preserve">colleges and universities. </w:t>
      </w:r>
    </w:p>
    <w:p w:rsidR="00903FBD" w:rsidRDefault="00627D57" w:rsidP="0012556B">
      <w:pPr>
        <w:spacing w:line="360" w:lineRule="auto"/>
      </w:pPr>
      <w:r w:rsidRPr="00627D57">
        <w:rPr>
          <w:b/>
        </w:rPr>
        <w:t>Student Success-</w:t>
      </w:r>
      <w:r>
        <w:t xml:space="preserve"> </w:t>
      </w:r>
      <w:r w:rsidR="00E7510C">
        <w:t>Continue support for</w:t>
      </w:r>
      <w:r w:rsidR="00903FBD">
        <w:t xml:space="preserve"> tutoring services, counseling and Academic Affairs to </w:t>
      </w:r>
      <w:r w:rsidR="00E7510C">
        <w:t>prolong a steady</w:t>
      </w:r>
      <w:r w:rsidR="00903FBD">
        <w:t xml:space="preserve"> enrollment and reduce turnover of students </w:t>
      </w:r>
      <w:r w:rsidR="00E7510C">
        <w:t>that seek</w:t>
      </w:r>
      <w:r w:rsidR="00903FBD">
        <w:t xml:space="preserve"> support services.</w:t>
      </w:r>
    </w:p>
    <w:p w:rsidR="004872F1" w:rsidRDefault="004872F1" w:rsidP="0012556B">
      <w:pPr>
        <w:spacing w:line="360" w:lineRule="auto"/>
      </w:pPr>
      <w:r w:rsidRPr="00627D57">
        <w:rPr>
          <w:b/>
        </w:rPr>
        <w:t>In</w:t>
      </w:r>
      <w:r w:rsidR="00627D57" w:rsidRPr="00627D57">
        <w:rPr>
          <w:b/>
        </w:rPr>
        <w:t>ternational Student Recruitment-</w:t>
      </w:r>
      <w:r>
        <w:t xml:space="preserve"> International students maintain a level of diversity that is desirable for the overall success and </w:t>
      </w:r>
      <w:r w:rsidR="006F4566">
        <w:t>campus demographic</w:t>
      </w:r>
      <w:r>
        <w:t xml:space="preserve">. </w:t>
      </w:r>
    </w:p>
    <w:p w:rsidR="004872F1" w:rsidRDefault="004872F1" w:rsidP="00036270">
      <w:pPr>
        <w:spacing w:line="360" w:lineRule="auto"/>
      </w:pPr>
      <w:r w:rsidRPr="00627D57">
        <w:rPr>
          <w:b/>
        </w:rPr>
        <w:t>Enrollment and retenti</w:t>
      </w:r>
      <w:r w:rsidR="00627D57" w:rsidRPr="00627D57">
        <w:rPr>
          <w:b/>
        </w:rPr>
        <w:t>on/Class offerings/ Class sizes-</w:t>
      </w:r>
      <w:r w:rsidR="00627D57">
        <w:t xml:space="preserve"> Research</w:t>
      </w:r>
      <w:r>
        <w:t xml:space="preserve"> </w:t>
      </w:r>
      <w:r w:rsidR="00627D57">
        <w:t>methods</w:t>
      </w:r>
      <w:r w:rsidR="006F4566">
        <w:t xml:space="preserve"> for</w:t>
      </w:r>
      <w:r>
        <w:t xml:space="preserve"> </w:t>
      </w:r>
      <w:r w:rsidR="006F4566">
        <w:t>consolidating and</w:t>
      </w:r>
      <w:r w:rsidR="00627D57">
        <w:t xml:space="preserve"> </w:t>
      </w:r>
      <w:r w:rsidR="006F4566">
        <w:t>decreasing</w:t>
      </w:r>
      <w:r>
        <w:t xml:space="preserve"> class sizes </w:t>
      </w:r>
      <w:r w:rsidR="00627D57">
        <w:t>for “manageability purposes”</w:t>
      </w:r>
      <w:r>
        <w:t xml:space="preserve"> </w:t>
      </w:r>
      <w:r w:rsidR="006F4566">
        <w:t xml:space="preserve">and </w:t>
      </w:r>
      <w:r w:rsidR="00627D57">
        <w:t>to improve faculty and student success</w:t>
      </w:r>
      <w:r>
        <w:t xml:space="preserve">. </w:t>
      </w:r>
      <w:r w:rsidR="00036270">
        <w:t xml:space="preserve"> </w:t>
      </w:r>
      <w:r>
        <w:t xml:space="preserve">Provide services to maintain enrollment and </w:t>
      </w:r>
      <w:r w:rsidR="00E7510C">
        <w:t>“</w:t>
      </w:r>
      <w:r>
        <w:t>streamline course offerings</w:t>
      </w:r>
      <w:r w:rsidR="006F4566">
        <w:t>,</w:t>
      </w:r>
      <w:r w:rsidR="00E7510C">
        <w:t>”</w:t>
      </w:r>
      <w:r w:rsidR="006F4566">
        <w:t xml:space="preserve"> or,</w:t>
      </w:r>
      <w:r w:rsidR="00036270">
        <w:t xml:space="preserve"> “</w:t>
      </w:r>
      <w:r w:rsidR="006F4566">
        <w:t>C</w:t>
      </w:r>
      <w:r>
        <w:t>reate interdepartmental compromises to allow students the ability to take classes outside their department or college that have the same objective or lesson base.</w:t>
      </w:r>
      <w:r w:rsidR="00E7510C">
        <w:t>”</w:t>
      </w:r>
      <w:r>
        <w:t xml:space="preserve"> </w:t>
      </w:r>
    </w:p>
    <w:p w:rsidR="00AA4F1D" w:rsidRDefault="00627D57" w:rsidP="00036270">
      <w:pPr>
        <w:spacing w:line="360" w:lineRule="auto"/>
      </w:pPr>
      <w:r w:rsidRPr="00627D57">
        <w:rPr>
          <w:b/>
        </w:rPr>
        <w:t>Summer Enrollment-</w:t>
      </w:r>
      <w:r w:rsidR="004872F1">
        <w:t xml:space="preserve"> Support summer enrollment, do not reduce or remove course offerings for the summer.</w:t>
      </w:r>
      <w:r w:rsidR="00B934C9">
        <w:t xml:space="preserve"> </w:t>
      </w:r>
    </w:p>
    <w:p w:rsidR="00457A3C" w:rsidRDefault="003B4A60">
      <w:r>
        <w:t xml:space="preserve"> </w:t>
      </w:r>
    </w:p>
    <w:sectPr w:rsidR="00457A3C" w:rsidSect="006B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098"/>
    <w:multiLevelType w:val="hybridMultilevel"/>
    <w:tmpl w:val="1CF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8A7"/>
    <w:multiLevelType w:val="hybridMultilevel"/>
    <w:tmpl w:val="1826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6C9B"/>
    <w:multiLevelType w:val="hybridMultilevel"/>
    <w:tmpl w:val="888C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63CF2"/>
    <w:multiLevelType w:val="hybridMultilevel"/>
    <w:tmpl w:val="893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A3C"/>
    <w:rsid w:val="00036270"/>
    <w:rsid w:val="0006184E"/>
    <w:rsid w:val="00084A95"/>
    <w:rsid w:val="0010412E"/>
    <w:rsid w:val="001203A6"/>
    <w:rsid w:val="0012556B"/>
    <w:rsid w:val="00152BAB"/>
    <w:rsid w:val="001C3A0B"/>
    <w:rsid w:val="00213CC5"/>
    <w:rsid w:val="002530CD"/>
    <w:rsid w:val="002B473D"/>
    <w:rsid w:val="00344544"/>
    <w:rsid w:val="00391C44"/>
    <w:rsid w:val="003B4A60"/>
    <w:rsid w:val="00401240"/>
    <w:rsid w:val="004071DF"/>
    <w:rsid w:val="00427F18"/>
    <w:rsid w:val="00457A3C"/>
    <w:rsid w:val="00476BF5"/>
    <w:rsid w:val="00480406"/>
    <w:rsid w:val="004872F1"/>
    <w:rsid w:val="00501EBD"/>
    <w:rsid w:val="00526BBF"/>
    <w:rsid w:val="00532FE6"/>
    <w:rsid w:val="00537926"/>
    <w:rsid w:val="005902F7"/>
    <w:rsid w:val="005D75DA"/>
    <w:rsid w:val="00627D57"/>
    <w:rsid w:val="006B5578"/>
    <w:rsid w:val="006F4566"/>
    <w:rsid w:val="0075495D"/>
    <w:rsid w:val="00760EC4"/>
    <w:rsid w:val="007F2FEC"/>
    <w:rsid w:val="00802B9C"/>
    <w:rsid w:val="00822D35"/>
    <w:rsid w:val="008A255B"/>
    <w:rsid w:val="00903FBD"/>
    <w:rsid w:val="00A552F5"/>
    <w:rsid w:val="00A60B79"/>
    <w:rsid w:val="00AA4F1D"/>
    <w:rsid w:val="00B426B8"/>
    <w:rsid w:val="00B851CB"/>
    <w:rsid w:val="00B934C9"/>
    <w:rsid w:val="00BB52F7"/>
    <w:rsid w:val="00C1797D"/>
    <w:rsid w:val="00C56FB9"/>
    <w:rsid w:val="00CC5040"/>
    <w:rsid w:val="00DF08CF"/>
    <w:rsid w:val="00E019F6"/>
    <w:rsid w:val="00E252AA"/>
    <w:rsid w:val="00E7510C"/>
    <w:rsid w:val="00F07D4A"/>
    <w:rsid w:val="00F16059"/>
    <w:rsid w:val="00F4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ats-3020.lats.csulb.edu\aa-asenate$\09-10%20AS%20RETREAT\Table%20Notes\Frequency%20distribution%20from%20table%20no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ats-3020.lats.csulb.edu\aa-asenate$\09-10%20AS%20RETREAT\Table%20Notes\Frequency%20distribution%20from%20table%20note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lats-3020.lats.csulb.edu\aa-asenate$\09-10%20AS%20RETREAT\Table%20Notes\Frequency%20distribution%20from%20table%20not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ats-3020.lats.csulb.edu\aa-asenate$\09-10%20AS%20RETREAT\Table%20Notes\Frequency%20distribution%20from%20table%20no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Cut/ Suspend Funding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1"/>
          <c:cat>
            <c:multiLvlStrRef>
              <c:f>Sheet1!$A$24:$O$24</c:f>
            </c:multiLvlStrRef>
          </c:cat>
          <c:val>
            <c:numRef>
              <c:f>Sheet1!$A$25:$O$25</c:f>
            </c:numRef>
          </c:val>
        </c:ser>
        <c:ser>
          <c:idx val="0"/>
          <c:order val="0"/>
          <c:cat>
            <c:strRef>
              <c:f>'[Frequency distribution from table notes.xlsx]Sheet1'!$A$24:$O$24</c:f>
              <c:strCache>
                <c:ptCount val="15"/>
                <c:pt idx="0">
                  <c:v>Administrative Support Services</c:v>
                </c:pt>
                <c:pt idx="1">
                  <c:v>Assigned Time</c:v>
                </c:pt>
                <c:pt idx="2">
                  <c:v>Early Retirement</c:v>
                </c:pt>
                <c:pt idx="3">
                  <c:v>Grants</c:v>
                </c:pt>
                <c:pt idx="4">
                  <c:v>SCAC </c:v>
                </c:pt>
                <c:pt idx="5">
                  <c:v>Student Success</c:v>
                </c:pt>
                <c:pt idx="6">
                  <c:v>Athletics</c:v>
                </c:pt>
                <c:pt idx="7">
                  <c:v>Centralizing services/streamlining</c:v>
                </c:pt>
                <c:pt idx="8">
                  <c:v>Technology and hybrid courses</c:v>
                </c:pt>
                <c:pt idx="9">
                  <c:v>Intl. Student Recruitment</c:v>
                </c:pt>
                <c:pt idx="10">
                  <c:v>Enrollment/ Retention</c:v>
                </c:pt>
                <c:pt idx="11">
                  <c:v>Student Fee Increases</c:v>
                </c:pt>
                <c:pt idx="12">
                  <c:v>Suspend Chancellor Hiring process</c:v>
                </c:pt>
                <c:pt idx="13">
                  <c:v>FTES/ Tenure Track</c:v>
                </c:pt>
                <c:pt idx="14">
                  <c:v>Summer Enrollment</c:v>
                </c:pt>
              </c:strCache>
            </c:strRef>
          </c:cat>
          <c:val>
            <c:numRef>
              <c:f>'[Frequency distribution from table notes.xlsx]Sheet1'!$A$25:$O$25</c:f>
              <c:numCache>
                <c:formatCode>General</c:formatCode>
                <c:ptCount val="15"/>
                <c:pt idx="0">
                  <c:v>11</c:v>
                </c:pt>
                <c:pt idx="1">
                  <c:v>30</c:v>
                </c:pt>
                <c:pt idx="2">
                  <c:v>5</c:v>
                </c:pt>
                <c:pt idx="3">
                  <c:v>0</c:v>
                </c:pt>
                <c:pt idx="4">
                  <c:v>21</c:v>
                </c:pt>
                <c:pt idx="5">
                  <c:v>27</c:v>
                </c:pt>
                <c:pt idx="6">
                  <c:v>9</c:v>
                </c:pt>
                <c:pt idx="7">
                  <c:v>17</c:v>
                </c:pt>
                <c:pt idx="8">
                  <c:v>16</c:v>
                </c:pt>
                <c:pt idx="9">
                  <c:v>4</c:v>
                </c:pt>
                <c:pt idx="10">
                  <c:v>34</c:v>
                </c:pt>
                <c:pt idx="11">
                  <c:v>18</c:v>
                </c:pt>
                <c:pt idx="12">
                  <c:v>8</c:v>
                </c:pt>
                <c:pt idx="13">
                  <c:v>17</c:v>
                </c:pt>
                <c:pt idx="14">
                  <c:v>12</c:v>
                </c:pt>
              </c:numCache>
            </c:numRef>
          </c:val>
        </c:ser>
        <c:axId val="125014016"/>
        <c:axId val="125016704"/>
      </c:barChart>
      <c:catAx>
        <c:axId val="1250140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Discussion Topics from table notes</a:t>
                </a:r>
              </a:p>
            </c:rich>
          </c:tx>
          <c:layout/>
        </c:title>
        <c:tickLblPos val="nextTo"/>
        <c:crossAx val="125016704"/>
        <c:crosses val="autoZero"/>
        <c:auto val="1"/>
        <c:lblAlgn val="ctr"/>
        <c:lblOffset val="100"/>
      </c:catAx>
      <c:valAx>
        <c:axId val="125016704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  <c:layout/>
        </c:title>
        <c:numFmt formatCode="General" sourceLinked="1"/>
        <c:tickLblPos val="nextTo"/>
        <c:crossAx val="1250140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Cut/</a:t>
            </a:r>
            <a:r>
              <a:rPr lang="en-US" baseline="0"/>
              <a:t> Suspend Funding</a:t>
            </a:r>
            <a:endParaRPr lang="en-US"/>
          </a:p>
        </c:rich>
      </c:tx>
      <c:layout/>
    </c:title>
    <c:plotArea>
      <c:layout>
        <c:manualLayout>
          <c:layoutTarget val="inner"/>
          <c:xMode val="edge"/>
          <c:yMode val="edge"/>
          <c:x val="0.19377220551293767"/>
          <c:y val="0.20560567086221454"/>
          <c:w val="0.612455588974125"/>
          <c:h val="0.71173143257342419"/>
        </c:manualLayout>
      </c:layout>
      <c:pieChart>
        <c:varyColors val="1"/>
        <c:ser>
          <c:idx val="0"/>
          <c:order val="0"/>
          <c:dLbls>
            <c:dLbl>
              <c:idx val="3"/>
              <c:delete val="1"/>
            </c:dLbl>
            <c:dLbl>
              <c:idx val="7"/>
              <c:layout>
                <c:manualLayout>
                  <c:x val="-2.6557630486213332E-2"/>
                  <c:y val="-5.984714465757869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Centralizing services/</a:t>
                    </a:r>
                  </a:p>
                  <a:p>
                    <a:r>
                      <a:rPr lang="en-US"/>
                      <a:t>streamlining
7%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2.83072888218724E-2"/>
                  <c:y val="-2.6483906584250784E-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0728094225854817"/>
                  <c:y val="-2.328161304916635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Sheet1!$A$24:$O$24</c:f>
              <c:strCache>
                <c:ptCount val="15"/>
                <c:pt idx="0">
                  <c:v>Administrative Support Services</c:v>
                </c:pt>
                <c:pt idx="1">
                  <c:v>Assigned Time</c:v>
                </c:pt>
                <c:pt idx="2">
                  <c:v>Early Retirement</c:v>
                </c:pt>
                <c:pt idx="3">
                  <c:v>Grants</c:v>
                </c:pt>
                <c:pt idx="4">
                  <c:v>SCAC </c:v>
                </c:pt>
                <c:pt idx="5">
                  <c:v>Student Success</c:v>
                </c:pt>
                <c:pt idx="6">
                  <c:v>Athletics</c:v>
                </c:pt>
                <c:pt idx="7">
                  <c:v>Centralizing services/streamlining</c:v>
                </c:pt>
                <c:pt idx="8">
                  <c:v>Technology and hybrid courses</c:v>
                </c:pt>
                <c:pt idx="9">
                  <c:v>Intl. Student Recruitment</c:v>
                </c:pt>
                <c:pt idx="10">
                  <c:v>Enrollment/ Retention</c:v>
                </c:pt>
                <c:pt idx="11">
                  <c:v>Student Fee Increases</c:v>
                </c:pt>
                <c:pt idx="12">
                  <c:v>Suspend Chancellor Hiring process</c:v>
                </c:pt>
                <c:pt idx="13">
                  <c:v>FTES/ Tenure Track</c:v>
                </c:pt>
                <c:pt idx="14">
                  <c:v>Summer Enrollment</c:v>
                </c:pt>
              </c:strCache>
            </c:strRef>
          </c:cat>
          <c:val>
            <c:numRef>
              <c:f>Sheet1!$A$25:$O$25</c:f>
              <c:numCache>
                <c:formatCode>General</c:formatCode>
                <c:ptCount val="15"/>
                <c:pt idx="0">
                  <c:v>11</c:v>
                </c:pt>
                <c:pt idx="1">
                  <c:v>30</c:v>
                </c:pt>
                <c:pt idx="2">
                  <c:v>5</c:v>
                </c:pt>
                <c:pt idx="3">
                  <c:v>0</c:v>
                </c:pt>
                <c:pt idx="4">
                  <c:v>21</c:v>
                </c:pt>
                <c:pt idx="5">
                  <c:v>27</c:v>
                </c:pt>
                <c:pt idx="6">
                  <c:v>9</c:v>
                </c:pt>
                <c:pt idx="7">
                  <c:v>17</c:v>
                </c:pt>
                <c:pt idx="8">
                  <c:v>16</c:v>
                </c:pt>
                <c:pt idx="9">
                  <c:v>4</c:v>
                </c:pt>
                <c:pt idx="10">
                  <c:v>34</c:v>
                </c:pt>
                <c:pt idx="11">
                  <c:v>18</c:v>
                </c:pt>
                <c:pt idx="12">
                  <c:v>8</c:v>
                </c:pt>
                <c:pt idx="13">
                  <c:v>17</c:v>
                </c:pt>
                <c:pt idx="14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Support/Fund</a:t>
            </a:r>
          </a:p>
        </c:rich>
      </c:tx>
    </c:title>
    <c:plotArea>
      <c:layout/>
      <c:barChart>
        <c:barDir val="col"/>
        <c:grouping val="clustered"/>
        <c:ser>
          <c:idx val="1"/>
          <c:order val="1"/>
          <c:cat>
            <c:multiLvlStrRef>
              <c:f>Sheet1!$A$1:$O$1</c:f>
            </c:multiLvlStrRef>
          </c:cat>
          <c:val>
            <c:numRef>
              <c:f>Sheet1!$A$2:$O$2</c:f>
            </c:numRef>
          </c:val>
        </c:ser>
        <c:ser>
          <c:idx val="0"/>
          <c:order val="0"/>
          <c:cat>
            <c:strRef>
              <c:f>'[Frequency distribution from table notes.xlsx]Sheet1'!$A$1:$O$1</c:f>
              <c:strCache>
                <c:ptCount val="15"/>
                <c:pt idx="0">
                  <c:v>Administrative Support Services</c:v>
                </c:pt>
                <c:pt idx="1">
                  <c:v>Assigned Time</c:v>
                </c:pt>
                <c:pt idx="2">
                  <c:v>Early Retirement</c:v>
                </c:pt>
                <c:pt idx="3">
                  <c:v>Grants</c:v>
                </c:pt>
                <c:pt idx="4">
                  <c:v>SCAC </c:v>
                </c:pt>
                <c:pt idx="5">
                  <c:v>Student Success</c:v>
                </c:pt>
                <c:pt idx="6">
                  <c:v>Athletics</c:v>
                </c:pt>
                <c:pt idx="7">
                  <c:v>Centralizing services/streamlining</c:v>
                </c:pt>
                <c:pt idx="8">
                  <c:v>Technology and hybrid courses</c:v>
                </c:pt>
                <c:pt idx="9">
                  <c:v>Intl. Student Recruitment</c:v>
                </c:pt>
                <c:pt idx="10">
                  <c:v>Class size/ Retention</c:v>
                </c:pt>
                <c:pt idx="11">
                  <c:v>Student Fee Increases</c:v>
                </c:pt>
                <c:pt idx="12">
                  <c:v>Chancellor Hiring process</c:v>
                </c:pt>
                <c:pt idx="13">
                  <c:v>FTES/ Tenure Track</c:v>
                </c:pt>
                <c:pt idx="14">
                  <c:v>Summer Enrollment</c:v>
                </c:pt>
              </c:strCache>
            </c:strRef>
          </c:cat>
          <c:val>
            <c:numRef>
              <c:f>'[Frequency distribution from table notes.xlsx]Sheet1'!$A$2:$O$2</c:f>
              <c:numCache>
                <c:formatCode>General</c:formatCode>
                <c:ptCount val="15"/>
                <c:pt idx="0">
                  <c:v>22</c:v>
                </c:pt>
                <c:pt idx="1">
                  <c:v>35</c:v>
                </c:pt>
                <c:pt idx="2">
                  <c:v>10</c:v>
                </c:pt>
                <c:pt idx="3">
                  <c:v>34</c:v>
                </c:pt>
                <c:pt idx="4">
                  <c:v>49</c:v>
                </c:pt>
                <c:pt idx="5">
                  <c:v>46</c:v>
                </c:pt>
                <c:pt idx="6">
                  <c:v>2</c:v>
                </c:pt>
                <c:pt idx="7">
                  <c:v>51</c:v>
                </c:pt>
                <c:pt idx="8">
                  <c:v>23</c:v>
                </c:pt>
                <c:pt idx="9">
                  <c:v>6</c:v>
                </c:pt>
                <c:pt idx="10">
                  <c:v>17</c:v>
                </c:pt>
                <c:pt idx="11">
                  <c:v>26</c:v>
                </c:pt>
                <c:pt idx="12">
                  <c:v>4</c:v>
                </c:pt>
                <c:pt idx="13">
                  <c:v>28</c:v>
                </c:pt>
                <c:pt idx="14">
                  <c:v>3</c:v>
                </c:pt>
              </c:numCache>
            </c:numRef>
          </c:val>
        </c:ser>
        <c:axId val="119088640"/>
        <c:axId val="119090560"/>
      </c:barChart>
      <c:catAx>
        <c:axId val="119088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Discussion</a:t>
                </a:r>
                <a:r>
                  <a:rPr lang="en-US" baseline="0"/>
                  <a:t> topics from table notes</a:t>
                </a:r>
                <a:endParaRPr lang="en-US"/>
              </a:p>
            </c:rich>
          </c:tx>
        </c:title>
        <c:tickLblPos val="nextTo"/>
        <c:crossAx val="119090560"/>
        <c:crosses val="autoZero"/>
        <c:auto val="1"/>
        <c:lblAlgn val="ctr"/>
        <c:lblOffset val="100"/>
      </c:catAx>
      <c:valAx>
        <c:axId val="119090560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</c:title>
        <c:numFmt formatCode="General" sourceLinked="1"/>
        <c:tickLblPos val="nextTo"/>
        <c:crossAx val="119088640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Support/Fund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3.9669981156201628E-2"/>
                  <c:y val="1.8474880169598955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8.2059242594675744E-2"/>
                  <c:y val="6.0936040889625724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4.0187260246315366E-2"/>
                  <c:y val="-4.0590001038297706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0064775556901542"/>
                  <c:y val="-8.4957236082549334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3.4184669224039308E-3"/>
                  <c:y val="2.9475256746223002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0.10205498351167644"/>
                  <c:y val="-6.1981722861300485E-3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0.11533868362608518"/>
                  <c:y val="-0.11387429159428286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1.8072296251430111E-2"/>
                  <c:y val="4.6255387137816208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Sheet1!$A$1:$O$1</c:f>
              <c:strCache>
                <c:ptCount val="15"/>
                <c:pt idx="0">
                  <c:v>Administrative Support Services</c:v>
                </c:pt>
                <c:pt idx="1">
                  <c:v>Assigned Time</c:v>
                </c:pt>
                <c:pt idx="2">
                  <c:v>Early Retirement</c:v>
                </c:pt>
                <c:pt idx="3">
                  <c:v>Grants</c:v>
                </c:pt>
                <c:pt idx="4">
                  <c:v>SCAC </c:v>
                </c:pt>
                <c:pt idx="5">
                  <c:v>Student Success</c:v>
                </c:pt>
                <c:pt idx="6">
                  <c:v>Athletics</c:v>
                </c:pt>
                <c:pt idx="7">
                  <c:v>Centralizing services/streamlining</c:v>
                </c:pt>
                <c:pt idx="8">
                  <c:v>Technology and hybrid courses</c:v>
                </c:pt>
                <c:pt idx="9">
                  <c:v>Intl. Student Recruitment</c:v>
                </c:pt>
                <c:pt idx="10">
                  <c:v>Class size/ Retention</c:v>
                </c:pt>
                <c:pt idx="11">
                  <c:v>Student Fee Increases</c:v>
                </c:pt>
                <c:pt idx="12">
                  <c:v>Chancellor Hiring process</c:v>
                </c:pt>
                <c:pt idx="13">
                  <c:v>FTES/ Tenure Track</c:v>
                </c:pt>
                <c:pt idx="14">
                  <c:v>Summer Enrollment</c:v>
                </c:pt>
              </c:strCache>
            </c:strRef>
          </c:cat>
          <c:val>
            <c:numRef>
              <c:f>Sheet1!$A$2:$O$2</c:f>
              <c:numCache>
                <c:formatCode>General</c:formatCode>
                <c:ptCount val="15"/>
                <c:pt idx="0">
                  <c:v>22</c:v>
                </c:pt>
                <c:pt idx="1">
                  <c:v>35</c:v>
                </c:pt>
                <c:pt idx="2">
                  <c:v>10</c:v>
                </c:pt>
                <c:pt idx="3">
                  <c:v>34</c:v>
                </c:pt>
                <c:pt idx="4">
                  <c:v>49</c:v>
                </c:pt>
                <c:pt idx="5">
                  <c:v>46</c:v>
                </c:pt>
                <c:pt idx="6">
                  <c:v>2</c:v>
                </c:pt>
                <c:pt idx="7">
                  <c:v>51</c:v>
                </c:pt>
                <c:pt idx="8">
                  <c:v>23</c:v>
                </c:pt>
                <c:pt idx="9">
                  <c:v>6</c:v>
                </c:pt>
                <c:pt idx="10">
                  <c:v>17</c:v>
                </c:pt>
                <c:pt idx="11">
                  <c:v>26</c:v>
                </c:pt>
                <c:pt idx="12">
                  <c:v>4</c:v>
                </c:pt>
                <c:pt idx="13">
                  <c:v>28</c:v>
                </c:pt>
                <c:pt idx="1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0.37158</cdr:x>
      <cdr:y>0.03723</cdr:y>
    </cdr:from>
    <cdr:to>
      <cdr:x>0.54645</cdr:x>
      <cdr:y>0.29255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3100" y="1333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0.37158</cdr:x>
      <cdr:y>0.03723</cdr:y>
    </cdr:from>
    <cdr:to>
      <cdr:x>0.54645</cdr:x>
      <cdr:y>0.29255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943100" y="1333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asenatemain</dc:creator>
  <cp:keywords/>
  <dc:description/>
  <cp:lastModifiedBy>Mary Walker</cp:lastModifiedBy>
  <cp:revision>2</cp:revision>
  <cp:lastPrinted>2009-11-16T20:55:00Z</cp:lastPrinted>
  <dcterms:created xsi:type="dcterms:W3CDTF">2010-07-23T20:15:00Z</dcterms:created>
  <dcterms:modified xsi:type="dcterms:W3CDTF">2010-07-23T20:15:00Z</dcterms:modified>
</cp:coreProperties>
</file>