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BC6E9E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Minutes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2C085E">
        <w:rPr>
          <w:rFonts w:ascii="Calibri" w:hAnsi="Calibri" w:cs="Calibri"/>
          <w:b/>
          <w:sz w:val="24"/>
          <w:szCs w:val="24"/>
        </w:rPr>
        <w:t>#</w:t>
      </w:r>
      <w:r w:rsidR="00E00435">
        <w:rPr>
          <w:rFonts w:ascii="Calibri" w:hAnsi="Calibri" w:cs="Calibri"/>
          <w:b/>
          <w:sz w:val="24"/>
          <w:szCs w:val="24"/>
        </w:rPr>
        <w:t>6</w:t>
      </w:r>
    </w:p>
    <w:p w:rsidR="005E2A41" w:rsidRPr="004A1201" w:rsidRDefault="00D20CF5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Thursday, </w:t>
      </w:r>
      <w:r w:rsidR="002C6F77">
        <w:rPr>
          <w:rFonts w:ascii="Calibri" w:hAnsi="Calibri" w:cs="Calibri"/>
          <w:sz w:val="24"/>
          <w:szCs w:val="24"/>
        </w:rPr>
        <w:t>November 1</w:t>
      </w:r>
      <w:r w:rsidR="00E00435">
        <w:rPr>
          <w:rFonts w:ascii="Calibri" w:hAnsi="Calibri" w:cs="Calibri"/>
          <w:sz w:val="24"/>
          <w:szCs w:val="24"/>
        </w:rPr>
        <w:t>5</w:t>
      </w:r>
      <w:r w:rsidR="00BC1EE3" w:rsidRPr="004A1201">
        <w:rPr>
          <w:rFonts w:ascii="Calibri" w:hAnsi="Calibri" w:cs="Calibri"/>
          <w:sz w:val="24"/>
          <w:szCs w:val="24"/>
        </w:rPr>
        <w:t>,</w:t>
      </w:r>
      <w:r w:rsidR="00B26AF6" w:rsidRPr="004A1201">
        <w:rPr>
          <w:rFonts w:ascii="Calibri" w:hAnsi="Calibri" w:cs="Calibri"/>
          <w:sz w:val="24"/>
          <w:szCs w:val="24"/>
        </w:rPr>
        <w:t xml:space="preserve"> 201</w:t>
      </w:r>
      <w:r w:rsidR="00E426D5">
        <w:rPr>
          <w:rFonts w:ascii="Calibri" w:hAnsi="Calibri" w:cs="Calibri"/>
          <w:sz w:val="24"/>
          <w:szCs w:val="24"/>
        </w:rPr>
        <w:t>8</w:t>
      </w:r>
      <w:r w:rsidR="00140A10" w:rsidRPr="004A1201">
        <w:rPr>
          <w:rFonts w:ascii="Calibri" w:hAnsi="Calibri" w:cs="Calibri"/>
          <w:sz w:val="24"/>
          <w:szCs w:val="24"/>
        </w:rPr>
        <w:t>,</w:t>
      </w:r>
      <w:r w:rsidR="00BC1EE3" w:rsidRPr="004A1201">
        <w:rPr>
          <w:rFonts w:ascii="Calibri" w:hAnsi="Calibri" w:cs="Calibri"/>
          <w:sz w:val="24"/>
          <w:szCs w:val="24"/>
        </w:rPr>
        <w:t xml:space="preserve"> </w:t>
      </w:r>
      <w:r w:rsidR="005E2A41" w:rsidRPr="004A1201">
        <w:rPr>
          <w:rFonts w:ascii="Calibri" w:hAnsi="Calibri" w:cs="Calibri"/>
          <w:sz w:val="24"/>
          <w:szCs w:val="24"/>
        </w:rPr>
        <w:t>2:</w:t>
      </w:r>
      <w:r w:rsidR="009E6695" w:rsidRPr="004A1201">
        <w:rPr>
          <w:rFonts w:ascii="Calibri" w:hAnsi="Calibri" w:cs="Calibri"/>
          <w:sz w:val="24"/>
          <w:szCs w:val="24"/>
        </w:rPr>
        <w:t>0</w:t>
      </w:r>
      <w:r w:rsidR="004A1201">
        <w:rPr>
          <w:rFonts w:ascii="Calibri" w:hAnsi="Calibri" w:cs="Calibri"/>
          <w:sz w:val="24"/>
          <w:szCs w:val="24"/>
        </w:rPr>
        <w:t xml:space="preserve">0 – </w:t>
      </w:r>
      <w:r w:rsidR="00B33C6B" w:rsidRPr="004A1201">
        <w:rPr>
          <w:rFonts w:ascii="Calibri" w:hAnsi="Calibri" w:cs="Calibri"/>
          <w:sz w:val="24"/>
          <w:szCs w:val="24"/>
        </w:rPr>
        <w:t>4:0</w:t>
      </w:r>
      <w:r w:rsidR="00BF2381" w:rsidRPr="004A1201">
        <w:rPr>
          <w:rFonts w:ascii="Calibri" w:hAnsi="Calibri" w:cs="Calibri"/>
          <w:sz w:val="24"/>
          <w:szCs w:val="24"/>
        </w:rPr>
        <w:t>0</w:t>
      </w:r>
      <w:r w:rsidR="009E6695" w:rsidRPr="004A1201">
        <w:rPr>
          <w:rFonts w:ascii="Calibri" w:hAnsi="Calibri" w:cs="Calibri"/>
          <w:sz w:val="24"/>
          <w:szCs w:val="24"/>
        </w:rPr>
        <w:t xml:space="preserve"> pm</w:t>
      </w:r>
    </w:p>
    <w:p w:rsidR="005E2A41" w:rsidRPr="004A1201" w:rsidRDefault="005E2A41" w:rsidP="009E6695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4A1201">
        <w:rPr>
          <w:rFonts w:ascii="Calibri" w:hAnsi="Calibri" w:cs="Calibri"/>
          <w:sz w:val="24"/>
          <w:szCs w:val="24"/>
        </w:rPr>
        <w:t xml:space="preserve">Towner Auditorium </w:t>
      </w:r>
      <w:r w:rsidR="004A1201">
        <w:rPr>
          <w:rFonts w:ascii="Calibri" w:hAnsi="Calibri" w:cs="Calibri"/>
          <w:sz w:val="24"/>
          <w:szCs w:val="24"/>
        </w:rPr>
        <w:t>(</w:t>
      </w:r>
      <w:r w:rsidRPr="004A1201">
        <w:rPr>
          <w:rFonts w:ascii="Calibri" w:hAnsi="Calibri" w:cs="Calibri"/>
          <w:sz w:val="24"/>
          <w:szCs w:val="24"/>
        </w:rPr>
        <w:t>PSY 150</w:t>
      </w:r>
      <w:r w:rsidR="004A1201">
        <w:rPr>
          <w:rFonts w:ascii="Calibri" w:hAnsi="Calibri" w:cs="Calibri"/>
          <w:sz w:val="24"/>
          <w:szCs w:val="24"/>
        </w:rPr>
        <w:t>)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  <w:r w:rsidR="00E479A4">
        <w:rPr>
          <w:rFonts w:ascii="Calibri" w:hAnsi="Calibri" w:cs="Calibri"/>
          <w:sz w:val="24"/>
          <w:szCs w:val="24"/>
        </w:rPr>
        <w:t>- at 2:03 pm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  <w:r w:rsidR="00E479A4">
        <w:rPr>
          <w:rFonts w:ascii="Calibri" w:hAnsi="Calibri" w:cs="Calibri"/>
          <w:sz w:val="24"/>
          <w:szCs w:val="24"/>
        </w:rPr>
        <w:t>- MSA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E479A4">
        <w:rPr>
          <w:rFonts w:ascii="Calibri" w:hAnsi="Calibri" w:cs="Calibri"/>
          <w:sz w:val="24"/>
          <w:szCs w:val="24"/>
        </w:rPr>
        <w:t>-MSA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Academic Senate</w:t>
      </w:r>
      <w:r w:rsidR="008B6EF9">
        <w:rPr>
          <w:rFonts w:ascii="Calibri" w:hAnsi="Calibri" w:cs="Calibri"/>
          <w:sz w:val="24"/>
          <w:szCs w:val="24"/>
        </w:rPr>
        <w:t xml:space="preserve"> m</w:t>
      </w:r>
      <w:r>
        <w:rPr>
          <w:rFonts w:ascii="Calibri" w:hAnsi="Calibri" w:cs="Calibri"/>
          <w:sz w:val="24"/>
          <w:szCs w:val="24"/>
        </w:rPr>
        <w:t xml:space="preserve">eeting of </w:t>
      </w:r>
      <w:r w:rsidR="00E00435">
        <w:rPr>
          <w:rFonts w:ascii="Calibri" w:hAnsi="Calibri" w:cs="Calibri"/>
          <w:sz w:val="24"/>
          <w:szCs w:val="24"/>
        </w:rPr>
        <w:t>November 1</w:t>
      </w:r>
      <w:r w:rsidR="006103DB">
        <w:rPr>
          <w:rFonts w:ascii="Calibri" w:hAnsi="Calibri" w:cs="Calibri"/>
          <w:sz w:val="24"/>
          <w:szCs w:val="24"/>
        </w:rPr>
        <w:t>, 2018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  <w:r w:rsidR="00E479A4">
        <w:rPr>
          <w:rFonts w:asciiTheme="minorHAnsi" w:hAnsiTheme="minorHAnsi" w:cs="Calibri"/>
          <w:sz w:val="24"/>
          <w:szCs w:val="24"/>
        </w:rPr>
        <w:t xml:space="preserve">-Beach 2030 open until 11:59 pm tonight. Need member for search committee for AVP of Human resource management- nominate Chris Warren by Praveen Soni, approved by AS. </w:t>
      </w:r>
      <w:r w:rsidR="00FF0B21">
        <w:rPr>
          <w:rFonts w:asciiTheme="minorHAnsi" w:hAnsiTheme="minorHAnsi" w:cs="Calibri"/>
          <w:sz w:val="24"/>
          <w:szCs w:val="24"/>
        </w:rPr>
        <w:t xml:space="preserve">Staff and faculty night at the </w:t>
      </w:r>
      <w:r w:rsidR="005B372A">
        <w:rPr>
          <w:rFonts w:asciiTheme="minorHAnsi" w:hAnsiTheme="minorHAnsi" w:cs="Calibri"/>
          <w:sz w:val="24"/>
          <w:szCs w:val="24"/>
        </w:rPr>
        <w:t>bookstore</w:t>
      </w:r>
      <w:r w:rsidR="00FF0B21">
        <w:rPr>
          <w:rFonts w:asciiTheme="minorHAnsi" w:hAnsiTheme="minorHAnsi" w:cs="Calibri"/>
          <w:sz w:val="24"/>
          <w:szCs w:val="24"/>
        </w:rPr>
        <w:t xml:space="preserve"> tomorrow night, all welcome. </w:t>
      </w:r>
    </w:p>
    <w:p w:rsidR="005E2A41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  <w:r w:rsidR="00E479A4">
        <w:rPr>
          <w:rFonts w:asciiTheme="minorHAnsi" w:hAnsiTheme="minorHAnsi" w:cs="Calibri"/>
          <w:sz w:val="24"/>
          <w:szCs w:val="24"/>
        </w:rPr>
        <w:t>-none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</w:t>
      </w:r>
      <w:r w:rsidR="00384B7A">
        <w:rPr>
          <w:rFonts w:ascii="Calibri" w:hAnsi="Calibri" w:cs="Calibri"/>
          <w:sz w:val="24"/>
          <w:szCs w:val="24"/>
        </w:rPr>
        <w:t xml:space="preserve"> Jane Conoley: TIME CERTAIN 2</w:t>
      </w:r>
      <w:r w:rsidR="00A02150">
        <w:rPr>
          <w:rFonts w:ascii="Calibri" w:hAnsi="Calibri" w:cs="Calibri"/>
          <w:sz w:val="24"/>
          <w:szCs w:val="24"/>
        </w:rPr>
        <w:t>:</w:t>
      </w:r>
      <w:r w:rsidR="006103DB">
        <w:rPr>
          <w:rFonts w:ascii="Calibri" w:hAnsi="Calibri" w:cs="Calibri"/>
          <w:sz w:val="24"/>
          <w:szCs w:val="24"/>
        </w:rPr>
        <w:t>15</w:t>
      </w:r>
      <w:r>
        <w:rPr>
          <w:rFonts w:ascii="Calibri" w:hAnsi="Calibri" w:cs="Calibri"/>
          <w:sz w:val="24"/>
          <w:szCs w:val="24"/>
        </w:rPr>
        <w:t xml:space="preserve"> pm</w:t>
      </w:r>
      <w:r w:rsidR="00FF0B21">
        <w:rPr>
          <w:rFonts w:ascii="Calibri" w:hAnsi="Calibri" w:cs="Calibri"/>
          <w:sz w:val="24"/>
          <w:szCs w:val="24"/>
        </w:rPr>
        <w:t xml:space="preserve">- Brian Jersky spoke on her behalf as she is out ill. BJ reported on </w:t>
      </w:r>
      <w:proofErr w:type="gramStart"/>
      <w:r w:rsidR="00FF0B21">
        <w:rPr>
          <w:rFonts w:ascii="Calibri" w:hAnsi="Calibri" w:cs="Calibri"/>
          <w:sz w:val="24"/>
          <w:szCs w:val="24"/>
        </w:rPr>
        <w:t>6</w:t>
      </w:r>
      <w:proofErr w:type="gramEnd"/>
      <w:r w:rsidR="00FF0B21">
        <w:rPr>
          <w:rFonts w:ascii="Calibri" w:hAnsi="Calibri" w:cs="Calibri"/>
          <w:sz w:val="24"/>
          <w:szCs w:val="24"/>
        </w:rPr>
        <w:t xml:space="preserve"> other CSU campuses affected by the recent wildfires. Beach 2030, 3020 individual participants from a diverse group including students, faculty, staff, guests. $2M donation to the </w:t>
      </w:r>
      <w:proofErr w:type="spellStart"/>
      <w:r w:rsidR="00FF0B21">
        <w:rPr>
          <w:rFonts w:ascii="Calibri" w:hAnsi="Calibri" w:cs="Calibri"/>
          <w:sz w:val="24"/>
          <w:szCs w:val="24"/>
        </w:rPr>
        <w:t>Clorind</w:t>
      </w:r>
      <w:r w:rsidR="00125156">
        <w:rPr>
          <w:rFonts w:ascii="Calibri" w:hAnsi="Calibri" w:cs="Calibri"/>
          <w:sz w:val="24"/>
          <w:szCs w:val="24"/>
        </w:rPr>
        <w:t>a</w:t>
      </w:r>
      <w:proofErr w:type="spellEnd"/>
      <w:r w:rsidR="00125156">
        <w:rPr>
          <w:rFonts w:ascii="Calibri" w:hAnsi="Calibri" w:cs="Calibri"/>
          <w:sz w:val="24"/>
          <w:szCs w:val="24"/>
        </w:rPr>
        <w:t xml:space="preserve"> Donato center for Global and Renaissance S</w:t>
      </w:r>
      <w:r w:rsidR="00FF0B21">
        <w:rPr>
          <w:rFonts w:ascii="Calibri" w:hAnsi="Calibri" w:cs="Calibri"/>
          <w:sz w:val="24"/>
          <w:szCs w:val="24"/>
        </w:rPr>
        <w:t>tudies. Most donations to the humanities and the arts. Very sad news, 1 student death last night in the residence halls. Honors program report by Deb Thien, national collegiate honors council, won 2</w:t>
      </w:r>
      <w:r w:rsidR="00FF0B21" w:rsidRPr="00FF0B21">
        <w:rPr>
          <w:rFonts w:ascii="Calibri" w:hAnsi="Calibri" w:cs="Calibri"/>
          <w:sz w:val="24"/>
          <w:szCs w:val="24"/>
          <w:vertAlign w:val="superscript"/>
        </w:rPr>
        <w:t>nd</w:t>
      </w:r>
      <w:r w:rsidR="00FF0B21">
        <w:rPr>
          <w:rFonts w:ascii="Calibri" w:hAnsi="Calibri" w:cs="Calibri"/>
          <w:sz w:val="24"/>
          <w:szCs w:val="24"/>
        </w:rPr>
        <w:t xml:space="preserve"> place for publication “the Honors code” out of 100 entries. Moot court 2018 Windy City regional winners from CSULB, going to National championship in Orlando, FL. 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="00FF0B21">
        <w:rPr>
          <w:rFonts w:ascii="Calibri" w:hAnsi="Calibri" w:cs="Calibri"/>
          <w:sz w:val="24"/>
          <w:szCs w:val="24"/>
        </w:rPr>
        <w:t xml:space="preserve">- CFA involved in the relief effort due to the fires. Faculty to receive 2.5% raise with December paychecks. 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2C6F77" w:rsidRDefault="002C6F77" w:rsidP="002C6F77">
      <w:pPr>
        <w:ind w:left="144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6.</w:t>
      </w:r>
      <w:r w:rsidR="00E00435">
        <w:rPr>
          <w:rFonts w:ascii="Calibri" w:hAnsi="Calibri" w:cs="Calibri"/>
          <w:bCs/>
          <w:sz w:val="24"/>
          <w:szCs w:val="24"/>
        </w:rPr>
        <w:t>1</w:t>
      </w:r>
      <w:r>
        <w:rPr>
          <w:rFonts w:ascii="Calibri" w:hAnsi="Calibri" w:cs="Calibri"/>
          <w:bCs/>
          <w:sz w:val="24"/>
          <w:szCs w:val="24"/>
        </w:rPr>
        <w:tab/>
        <w:t>Proposed name change from College of Continuing and Professional Education to College of Professional and International Education (AS-1065-18/EC)—SECOND READING</w:t>
      </w:r>
      <w:r w:rsidR="00FF0B21">
        <w:rPr>
          <w:rFonts w:ascii="Calibri" w:hAnsi="Calibri" w:cs="Calibri"/>
          <w:bCs/>
          <w:sz w:val="24"/>
          <w:szCs w:val="24"/>
        </w:rPr>
        <w:t>- IEC has provided feedback regarding this, have created a memo about this issue. HB reports that the IEC will support the name ch</w:t>
      </w:r>
      <w:r w:rsidR="00C964B3">
        <w:rPr>
          <w:rFonts w:ascii="Calibri" w:hAnsi="Calibri" w:cs="Calibri"/>
          <w:bCs/>
          <w:sz w:val="24"/>
          <w:szCs w:val="24"/>
        </w:rPr>
        <w:t>ange with stated concerns noted</w:t>
      </w:r>
      <w:r w:rsidR="00FF0B21">
        <w:rPr>
          <w:rFonts w:ascii="Calibri" w:hAnsi="Calibri" w:cs="Calibri"/>
          <w:bCs/>
          <w:sz w:val="24"/>
          <w:szCs w:val="24"/>
        </w:rPr>
        <w:t xml:space="preserve"> in memo. </w:t>
      </w:r>
      <w:r w:rsidR="00C964B3">
        <w:rPr>
          <w:rFonts w:ascii="Calibri" w:hAnsi="Calibri" w:cs="Calibri"/>
          <w:bCs/>
          <w:sz w:val="24"/>
          <w:szCs w:val="24"/>
        </w:rPr>
        <w:t xml:space="preserve">Motion to recommend the name change- discussion </w:t>
      </w:r>
      <w:proofErr w:type="gramStart"/>
      <w:r w:rsidR="00C964B3">
        <w:rPr>
          <w:rFonts w:ascii="Calibri" w:hAnsi="Calibri" w:cs="Calibri"/>
          <w:bCs/>
          <w:sz w:val="24"/>
          <w:szCs w:val="24"/>
        </w:rPr>
        <w:t>on</w:t>
      </w:r>
      <w:proofErr w:type="gramEnd"/>
      <w:r w:rsidR="00C964B3">
        <w:rPr>
          <w:rFonts w:ascii="Calibri" w:hAnsi="Calibri" w:cs="Calibri"/>
          <w:bCs/>
          <w:sz w:val="24"/>
          <w:szCs w:val="24"/>
        </w:rPr>
        <w:t xml:space="preserve"> the floor- Teri Yamada reports that AAAS not invited to take part in discussions and prefers to wait to approve the name change. Vote to approve Yes=31    No=17</w:t>
      </w:r>
      <w:r w:rsidR="00C964B3" w:rsidRPr="00C964B3">
        <w:rPr>
          <w:rFonts w:ascii="Calibri" w:hAnsi="Calibri" w:cs="Calibri"/>
          <w:b/>
          <w:bCs/>
          <w:sz w:val="24"/>
          <w:szCs w:val="24"/>
        </w:rPr>
        <w:t xml:space="preserve"> MOTION PASSED</w:t>
      </w:r>
      <w:r w:rsidR="00C964B3">
        <w:rPr>
          <w:rFonts w:ascii="Calibri" w:hAnsi="Calibri" w:cs="Calibri"/>
          <w:bCs/>
          <w:sz w:val="24"/>
          <w:szCs w:val="24"/>
        </w:rPr>
        <w:t xml:space="preserve">  </w:t>
      </w:r>
    </w:p>
    <w:p w:rsidR="00125156" w:rsidRDefault="00950C3B" w:rsidP="007724C1">
      <w:pPr>
        <w:pStyle w:val="ListParagraph"/>
        <w:numPr>
          <w:ilvl w:val="0"/>
          <w:numId w:val="24"/>
        </w:numPr>
        <w:rPr>
          <w:rFonts w:ascii="Calibri" w:hAnsi="Calibri" w:cs="Calibri"/>
          <w:bCs/>
          <w:sz w:val="24"/>
          <w:szCs w:val="24"/>
        </w:rPr>
      </w:pPr>
      <w:r w:rsidRPr="007724C1">
        <w:rPr>
          <w:rFonts w:ascii="Calibri" w:hAnsi="Calibri" w:cs="Calibri"/>
          <w:bCs/>
          <w:sz w:val="24"/>
          <w:szCs w:val="24"/>
        </w:rPr>
        <w:lastRenderedPageBreak/>
        <w:t>6.2</w:t>
      </w:r>
      <w:r w:rsidR="002C6F77" w:rsidRPr="007724C1">
        <w:rPr>
          <w:rFonts w:ascii="Calibri" w:hAnsi="Calibri" w:cs="Calibri"/>
          <w:bCs/>
          <w:sz w:val="24"/>
          <w:szCs w:val="24"/>
        </w:rPr>
        <w:tab/>
      </w:r>
      <w:r w:rsidR="00384B7A" w:rsidRPr="007724C1">
        <w:rPr>
          <w:rFonts w:ascii="Calibri" w:hAnsi="Calibri" w:cs="Calibri"/>
          <w:bCs/>
          <w:sz w:val="24"/>
          <w:szCs w:val="24"/>
        </w:rPr>
        <w:t xml:space="preserve">Proposed revision of Policy on Research, Scholarly and Creative Activity </w:t>
      </w:r>
      <w:r w:rsidR="00E41CFB" w:rsidRPr="007724C1">
        <w:rPr>
          <w:rFonts w:ascii="Calibri" w:hAnsi="Calibri" w:cs="Calibri"/>
          <w:bCs/>
          <w:sz w:val="24"/>
          <w:szCs w:val="24"/>
        </w:rPr>
        <w:t>P</w:t>
      </w:r>
      <w:r w:rsidR="00384B7A" w:rsidRPr="007724C1">
        <w:rPr>
          <w:rFonts w:ascii="Calibri" w:hAnsi="Calibri" w:cs="Calibri"/>
          <w:bCs/>
          <w:sz w:val="24"/>
          <w:szCs w:val="24"/>
        </w:rPr>
        <w:t>S 11-08 (</w:t>
      </w:r>
      <w:r w:rsidR="00031A46" w:rsidRPr="007724C1">
        <w:rPr>
          <w:rFonts w:ascii="Calibri" w:hAnsi="Calibri" w:cs="Calibri"/>
          <w:bCs/>
          <w:sz w:val="24"/>
          <w:szCs w:val="24"/>
        </w:rPr>
        <w:t>A</w:t>
      </w:r>
      <w:r w:rsidR="00384B7A" w:rsidRPr="007724C1">
        <w:rPr>
          <w:rFonts w:ascii="Calibri" w:hAnsi="Calibri" w:cs="Calibri"/>
          <w:bCs/>
          <w:sz w:val="24"/>
          <w:szCs w:val="24"/>
        </w:rPr>
        <w:t>S-1058-18/FPPC/EC)—</w:t>
      </w:r>
      <w:r w:rsidR="008B6EF9" w:rsidRPr="007724C1">
        <w:rPr>
          <w:rFonts w:ascii="Calibri" w:hAnsi="Calibri" w:cs="Calibri"/>
          <w:bCs/>
          <w:sz w:val="24"/>
          <w:szCs w:val="24"/>
        </w:rPr>
        <w:t>SECOND</w:t>
      </w:r>
      <w:r w:rsidR="00384B7A" w:rsidRPr="007724C1">
        <w:rPr>
          <w:rFonts w:ascii="Calibri" w:hAnsi="Calibri" w:cs="Calibri"/>
          <w:bCs/>
          <w:sz w:val="24"/>
          <w:szCs w:val="24"/>
        </w:rPr>
        <w:t xml:space="preserve"> READING</w:t>
      </w:r>
      <w:r w:rsidR="00C964B3" w:rsidRPr="007724C1">
        <w:rPr>
          <w:rFonts w:ascii="Calibri" w:hAnsi="Calibri" w:cs="Calibri"/>
          <w:bCs/>
          <w:sz w:val="24"/>
          <w:szCs w:val="24"/>
        </w:rPr>
        <w:t>- NS reviewed the most asked questions and projected them on screen. Discussion ensued- CB moved, seconded amendment of line 44,45 to replace 46,47</w:t>
      </w:r>
      <w:r w:rsidR="00AB6FD6" w:rsidRPr="007724C1">
        <w:rPr>
          <w:rFonts w:ascii="Calibri" w:hAnsi="Calibri" w:cs="Calibri"/>
          <w:bCs/>
          <w:sz w:val="24"/>
          <w:szCs w:val="24"/>
        </w:rPr>
        <w:t>- AC put a motion to replace lines 44-48 with lines 49-50</w:t>
      </w:r>
      <w:r w:rsidR="001C1448" w:rsidRPr="007724C1">
        <w:rPr>
          <w:rFonts w:ascii="Calibri" w:hAnsi="Calibri" w:cs="Calibri"/>
          <w:bCs/>
          <w:sz w:val="24"/>
          <w:szCs w:val="24"/>
        </w:rPr>
        <w:t>, add “per call” for a given award suggested amendment by DT</w:t>
      </w:r>
      <w:r w:rsidR="007724C1" w:rsidRPr="007724C1">
        <w:rPr>
          <w:rFonts w:ascii="Calibri" w:hAnsi="Calibri" w:cs="Calibri"/>
          <w:bCs/>
          <w:sz w:val="24"/>
          <w:szCs w:val="24"/>
        </w:rPr>
        <w:t xml:space="preserve">. Voting </w:t>
      </w:r>
      <w:r w:rsidR="00385A70">
        <w:rPr>
          <w:rFonts w:ascii="Calibri" w:hAnsi="Calibri" w:cs="Calibri"/>
          <w:bCs/>
          <w:sz w:val="24"/>
          <w:szCs w:val="24"/>
        </w:rPr>
        <w:t>on lines 48-51</w:t>
      </w:r>
      <w:r w:rsidR="00385A70" w:rsidRPr="007724C1">
        <w:rPr>
          <w:rFonts w:ascii="Calibri" w:hAnsi="Calibri" w:cs="Calibri"/>
          <w:bCs/>
          <w:sz w:val="24"/>
          <w:szCs w:val="24"/>
        </w:rPr>
        <w:t xml:space="preserve">. </w:t>
      </w:r>
    </w:p>
    <w:p w:rsidR="002D3F05" w:rsidRPr="002D3F05" w:rsidRDefault="002D3F05" w:rsidP="0080161B">
      <w:pPr>
        <w:pStyle w:val="ListParagraph"/>
        <w:ind w:left="1440"/>
        <w:jc w:val="center"/>
        <w:rPr>
          <w:b/>
          <w:szCs w:val="24"/>
        </w:rPr>
      </w:pPr>
      <w:r w:rsidRPr="002D3F05">
        <w:rPr>
          <w:b/>
          <w:szCs w:val="24"/>
        </w:rPr>
        <w:t>Straw Polls on RSCA Policy</w:t>
      </w:r>
    </w:p>
    <w:p w:rsidR="002D3F05" w:rsidRDefault="002D3F05" w:rsidP="0080161B">
      <w:pPr>
        <w:pStyle w:val="ListParagraph"/>
        <w:ind w:left="1440"/>
        <w:jc w:val="center"/>
        <w:rPr>
          <w:b/>
          <w:szCs w:val="24"/>
        </w:rPr>
      </w:pPr>
      <w:r w:rsidRPr="002D3F05">
        <w:rPr>
          <w:b/>
          <w:szCs w:val="24"/>
        </w:rPr>
        <w:t>(Academic Senate meeting of November 15, 2018)</w:t>
      </w:r>
    </w:p>
    <w:p w:rsidR="00C82261" w:rsidRPr="002D3F05" w:rsidRDefault="00C82261" w:rsidP="00C82261">
      <w:pPr>
        <w:pStyle w:val="ListParagraph"/>
        <w:ind w:left="1440"/>
        <w:rPr>
          <w:b/>
          <w:szCs w:val="24"/>
        </w:rPr>
      </w:pPr>
    </w:p>
    <w:p w:rsidR="002D3F05" w:rsidRPr="00C82261" w:rsidRDefault="002D3F05" w:rsidP="00C82261">
      <w:pPr>
        <w:ind w:left="1080"/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D3F05" w:rsidRPr="00D8435F" w:rsidTr="00EA1A93"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80161B">
              <w:rPr>
                <w:rFonts w:cs="Calibri"/>
                <w:b/>
                <w:bCs/>
                <w:sz w:val="24"/>
                <w:szCs w:val="24"/>
              </w:rPr>
              <w:t>Pool #1</w:t>
            </w:r>
          </w:p>
        </w:tc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2D3F05" w:rsidRPr="00D8435F" w:rsidTr="00EA1A93"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80161B">
              <w:rPr>
                <w:rFonts w:cs="Calibri"/>
                <w:bCs/>
                <w:sz w:val="24"/>
                <w:szCs w:val="24"/>
              </w:rPr>
              <w:t>Summer Stipend</w:t>
            </w:r>
          </w:p>
        </w:tc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80161B">
              <w:rPr>
                <w:rFonts w:cs="Calibri"/>
                <w:bCs/>
                <w:sz w:val="24"/>
                <w:szCs w:val="24"/>
              </w:rPr>
              <w:t>Selected at the University level</w:t>
            </w:r>
          </w:p>
        </w:tc>
      </w:tr>
      <w:tr w:rsidR="002D3F05" w:rsidRPr="00D8435F" w:rsidTr="00EA1A93"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80161B">
              <w:rPr>
                <w:rFonts w:cs="Calibri"/>
                <w:bCs/>
                <w:sz w:val="24"/>
                <w:szCs w:val="24"/>
              </w:rPr>
              <w:t>Mini-Grant</w:t>
            </w:r>
          </w:p>
        </w:tc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80161B">
              <w:rPr>
                <w:rFonts w:cs="Calibri"/>
                <w:bCs/>
                <w:sz w:val="24"/>
                <w:szCs w:val="24"/>
              </w:rPr>
              <w:t>Selected at the University level</w:t>
            </w:r>
          </w:p>
        </w:tc>
      </w:tr>
      <w:tr w:rsidR="002D3F05" w:rsidRPr="00D8435F" w:rsidTr="00EA1A93"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/>
                <w:bCs/>
                <w:sz w:val="24"/>
                <w:szCs w:val="24"/>
              </w:rPr>
            </w:pPr>
            <w:r w:rsidRPr="0080161B">
              <w:rPr>
                <w:rFonts w:cs="Calibri"/>
                <w:b/>
                <w:bCs/>
                <w:sz w:val="24"/>
                <w:szCs w:val="24"/>
              </w:rPr>
              <w:t>Pool #2</w:t>
            </w:r>
          </w:p>
        </w:tc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D3F05" w:rsidRPr="00D8435F" w:rsidTr="00EA1A93"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80161B">
              <w:rPr>
                <w:rFonts w:cs="Calibri"/>
                <w:bCs/>
                <w:sz w:val="24"/>
                <w:szCs w:val="24"/>
              </w:rPr>
              <w:t>RSCA reassigned time</w:t>
            </w:r>
          </w:p>
        </w:tc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80161B">
              <w:rPr>
                <w:rFonts w:cs="Calibri"/>
                <w:bCs/>
                <w:sz w:val="24"/>
                <w:szCs w:val="24"/>
              </w:rPr>
              <w:t>Selected at the College level</w:t>
            </w:r>
          </w:p>
        </w:tc>
      </w:tr>
      <w:tr w:rsidR="002D3F05" w:rsidRPr="00D8435F" w:rsidTr="00EA1A93"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80161B">
              <w:rPr>
                <w:rFonts w:cs="Calibri"/>
                <w:bCs/>
                <w:sz w:val="24"/>
                <w:szCs w:val="24"/>
              </w:rPr>
              <w:t>Faculty Small Grant</w:t>
            </w:r>
          </w:p>
        </w:tc>
        <w:tc>
          <w:tcPr>
            <w:tcW w:w="4675" w:type="dxa"/>
          </w:tcPr>
          <w:p w:rsidR="002D3F05" w:rsidRPr="0080161B" w:rsidRDefault="002D3F05" w:rsidP="00EA1A93">
            <w:pPr>
              <w:pStyle w:val="ListParagraph"/>
              <w:ind w:left="0"/>
              <w:rPr>
                <w:rFonts w:cs="Calibri"/>
                <w:bCs/>
                <w:sz w:val="24"/>
                <w:szCs w:val="24"/>
              </w:rPr>
            </w:pPr>
            <w:r w:rsidRPr="0080161B">
              <w:rPr>
                <w:rFonts w:cs="Calibri"/>
                <w:bCs/>
                <w:sz w:val="24"/>
                <w:szCs w:val="24"/>
              </w:rPr>
              <w:t>Selected at the College level</w:t>
            </w:r>
          </w:p>
        </w:tc>
      </w:tr>
    </w:tbl>
    <w:p w:rsidR="002D3F05" w:rsidRPr="002D3F05" w:rsidRDefault="002D3F05" w:rsidP="00C82261">
      <w:pPr>
        <w:pStyle w:val="ListParagraph"/>
        <w:ind w:left="1440"/>
        <w:rPr>
          <w:szCs w:val="24"/>
        </w:rPr>
      </w:pPr>
    </w:p>
    <w:p w:rsidR="002D3F05" w:rsidRPr="0080161B" w:rsidRDefault="002D3F05" w:rsidP="0080161B">
      <w:pPr>
        <w:rPr>
          <w:rFonts w:asciiTheme="minorHAnsi" w:hAnsiTheme="minorHAnsi" w:cstheme="minorHAnsi"/>
          <w:sz w:val="22"/>
          <w:szCs w:val="22"/>
        </w:rPr>
      </w:pPr>
      <w:r w:rsidRPr="0080161B">
        <w:rPr>
          <w:rFonts w:asciiTheme="minorHAnsi" w:hAnsiTheme="minorHAnsi" w:cstheme="minorHAnsi"/>
          <w:sz w:val="22"/>
          <w:szCs w:val="22"/>
        </w:rPr>
        <w:t xml:space="preserve">A faculty member is allowed to receive only one award (summer stipend, mini-grant, RSCA reassigned time, or faculty small grant) in a given academic year under this policy [1]. </w:t>
      </w:r>
      <w:proofErr w:type="gramStart"/>
      <w:r w:rsidRPr="0080161B">
        <w:rPr>
          <w:rFonts w:asciiTheme="minorHAnsi" w:hAnsiTheme="minorHAnsi" w:cstheme="minorHAnsi"/>
          <w:sz w:val="22"/>
          <w:szCs w:val="22"/>
        </w:rPr>
        <w:t>A faculty member is allowed to apply for only one award in each pool [9]; however, if a faculty member receives an award selected at the college level (RSCA reassigned time or faculty small grant) they may shift the award between the two awards [5] with consent of their department chair, unless they are faculty receiving new faculty release time, who may only apply for and receive faculty small grants.</w:t>
      </w:r>
      <w:proofErr w:type="gramEnd"/>
      <w:r w:rsidRPr="0080161B">
        <w:rPr>
          <w:rFonts w:asciiTheme="minorHAnsi" w:hAnsiTheme="minorHAnsi" w:cstheme="minorHAnsi"/>
          <w:sz w:val="22"/>
          <w:szCs w:val="22"/>
        </w:rPr>
        <w:t xml:space="preserve"> Beyond those stipulations, colleges </w:t>
      </w:r>
      <w:proofErr w:type="gramStart"/>
      <w:r w:rsidRPr="0080161B">
        <w:rPr>
          <w:rFonts w:asciiTheme="minorHAnsi" w:hAnsiTheme="minorHAnsi" w:cstheme="minorHAnsi"/>
          <w:sz w:val="22"/>
          <w:szCs w:val="22"/>
        </w:rPr>
        <w:t>are permitted</w:t>
      </w:r>
      <w:proofErr w:type="gramEnd"/>
      <w:r w:rsidRPr="0080161B">
        <w:rPr>
          <w:rFonts w:asciiTheme="minorHAnsi" w:hAnsiTheme="minorHAnsi" w:cstheme="minorHAnsi"/>
          <w:sz w:val="22"/>
          <w:szCs w:val="22"/>
        </w:rPr>
        <w:t xml:space="preserve"> to develop their own processes for awards selected at the college level [7].</w:t>
      </w:r>
    </w:p>
    <w:p w:rsidR="002D3F05" w:rsidRPr="0080161B" w:rsidRDefault="002D3F05" w:rsidP="00C82261">
      <w:pPr>
        <w:pStyle w:val="ListParagraph"/>
        <w:ind w:left="1440"/>
        <w:rPr>
          <w:rFonts w:cstheme="minorHAnsi"/>
        </w:rPr>
      </w:pPr>
    </w:p>
    <w:p w:rsidR="002D3F05" w:rsidRPr="0080161B" w:rsidRDefault="002D3F05" w:rsidP="0080161B">
      <w:pPr>
        <w:rPr>
          <w:rFonts w:asciiTheme="minorHAnsi" w:hAnsiTheme="minorHAnsi" w:cstheme="minorHAnsi"/>
          <w:sz w:val="22"/>
          <w:szCs w:val="22"/>
        </w:rPr>
      </w:pPr>
      <w:proofErr w:type="gramStart"/>
      <w:r w:rsidRPr="0080161B">
        <w:rPr>
          <w:rFonts w:asciiTheme="minorHAnsi" w:hAnsiTheme="minorHAnsi" w:cstheme="minorHAnsi"/>
          <w:sz w:val="22"/>
          <w:szCs w:val="22"/>
        </w:rPr>
        <w:t xml:space="preserve">The deadline for applications shall be staggered between the pools so that selection committees can make decisions in a timely manner, and so that faculty members then know if they are receiving an </w:t>
      </w:r>
      <w:bookmarkStart w:id="0" w:name="_GoBack"/>
      <w:bookmarkEnd w:id="0"/>
      <w:r w:rsidRPr="0080161B">
        <w:rPr>
          <w:rFonts w:asciiTheme="minorHAnsi" w:hAnsiTheme="minorHAnsi" w:cstheme="minorHAnsi"/>
          <w:sz w:val="22"/>
          <w:szCs w:val="22"/>
        </w:rPr>
        <w:t>award selected at the college level (RSCA reassigned time or faculty small grant) before the deadline for awards selected at the University level (summer stipend or mini-grant) [4].</w:t>
      </w:r>
      <w:proofErr w:type="gramEnd"/>
      <w:r w:rsidRPr="0080161B">
        <w:rPr>
          <w:rFonts w:asciiTheme="minorHAnsi" w:hAnsiTheme="minorHAnsi" w:cstheme="minorHAnsi"/>
          <w:sz w:val="22"/>
          <w:szCs w:val="22"/>
        </w:rPr>
        <w:t xml:space="preserve"> Colleges are permitted to issue more than one call for college-selected awards per given academic year [6], but the call for university-selected awards need only be staggered with the first of those calls.</w:t>
      </w:r>
    </w:p>
    <w:p w:rsidR="002D3F05" w:rsidRPr="0080161B" w:rsidRDefault="002D3F05" w:rsidP="00C82261">
      <w:pPr>
        <w:pStyle w:val="ListParagraph"/>
        <w:ind w:left="1440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7200"/>
        <w:gridCol w:w="720"/>
        <w:gridCol w:w="720"/>
      </w:tblGrid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#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b/>
                <w:sz w:val="24"/>
                <w:szCs w:val="24"/>
              </w:rPr>
              <w:t>NO</w:t>
            </w:r>
          </w:p>
        </w:tc>
      </w:tr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Should a faculty member be allowed</w:t>
            </w:r>
            <w:proofErr w:type="gramEnd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80161B">
              <w:rPr>
                <w:rFonts w:asciiTheme="minorHAnsi" w:hAnsiTheme="minorHAnsi" w:cstheme="minorHAnsi"/>
                <w:i/>
                <w:sz w:val="24"/>
                <w:szCs w:val="24"/>
              </w:rPr>
              <w:t>receive</w:t>
            </w: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only one award?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Should a faculty member be allowed</w:t>
            </w:r>
            <w:proofErr w:type="gramEnd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80161B">
              <w:rPr>
                <w:rFonts w:asciiTheme="minorHAnsi" w:hAnsiTheme="minorHAnsi" w:cstheme="minorHAnsi"/>
                <w:i/>
                <w:sz w:val="24"/>
                <w:szCs w:val="24"/>
              </w:rPr>
              <w:t>apply</w:t>
            </w: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for only one award?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</w:tr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Should a faculty member be allowed</w:t>
            </w:r>
            <w:proofErr w:type="gramEnd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80161B">
              <w:rPr>
                <w:rFonts w:asciiTheme="minorHAnsi" w:hAnsiTheme="minorHAnsi" w:cstheme="minorHAnsi"/>
                <w:i/>
                <w:sz w:val="24"/>
                <w:szCs w:val="24"/>
              </w:rPr>
              <w:t>apply</w:t>
            </w: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for only one award </w:t>
            </w:r>
            <w:r w:rsidRPr="0080161B">
              <w:rPr>
                <w:rFonts w:asciiTheme="minorHAnsi" w:hAnsiTheme="minorHAnsi" w:cstheme="minorHAnsi"/>
                <w:i/>
                <w:sz w:val="24"/>
                <w:szCs w:val="24"/>
              </w:rPr>
              <w:t>pool</w:t>
            </w: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?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</w:tr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Should the deadlines between Pool #1 and Pool #2 be staggered?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</w:tr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Should a faculty member be allowed</w:t>
            </w:r>
            <w:proofErr w:type="gramEnd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to </w:t>
            </w:r>
            <w:r w:rsidRPr="0080161B">
              <w:rPr>
                <w:rFonts w:asciiTheme="minorHAnsi" w:hAnsiTheme="minorHAnsi" w:cstheme="minorHAnsi"/>
                <w:i/>
                <w:sz w:val="24"/>
                <w:szCs w:val="24"/>
              </w:rPr>
              <w:t>shift</w:t>
            </w: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an award been the subcategories in Pool #2?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</w:tr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Should it be possible for there to be more than one call in Pool #2 per given academic year?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</w:tr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Should colleges be allowed</w:t>
            </w:r>
            <w:proofErr w:type="gramEnd"/>
            <w:r w:rsidRPr="0080161B">
              <w:rPr>
                <w:rFonts w:asciiTheme="minorHAnsi" w:hAnsiTheme="minorHAnsi" w:cstheme="minorHAnsi"/>
                <w:sz w:val="24"/>
                <w:szCs w:val="24"/>
              </w:rPr>
              <w:t xml:space="preserve"> to make their own processes for Pool #2?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</w:tr>
      <w:tr w:rsidR="002D3F05" w:rsidRPr="0080161B" w:rsidTr="00EA1A93">
        <w:tc>
          <w:tcPr>
            <w:tcW w:w="72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7200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Could college policies restrict applications to only one pool?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720" w:type="dxa"/>
          </w:tcPr>
          <w:p w:rsidR="002D3F05" w:rsidRPr="0080161B" w:rsidRDefault="002D3F05" w:rsidP="00EA1A93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</w:tr>
    </w:tbl>
    <w:p w:rsidR="002D3F05" w:rsidRPr="0080161B" w:rsidRDefault="002D3F05" w:rsidP="00C82261">
      <w:pPr>
        <w:rPr>
          <w:rFonts w:asciiTheme="minorHAnsi" w:hAnsiTheme="minorHAnsi" w:cstheme="minorHAnsi"/>
          <w:sz w:val="24"/>
          <w:szCs w:val="24"/>
        </w:rPr>
      </w:pPr>
    </w:p>
    <w:p w:rsidR="002D3F05" w:rsidRPr="0080161B" w:rsidRDefault="002D3F05" w:rsidP="0080161B">
      <w:pPr>
        <w:rPr>
          <w:rFonts w:cstheme="minorHAnsi"/>
          <w:sz w:val="24"/>
          <w:szCs w:val="24"/>
        </w:rPr>
      </w:pPr>
      <w:r w:rsidRPr="0080161B">
        <w:rPr>
          <w:rFonts w:cstheme="minorHAnsi"/>
          <w:sz w:val="24"/>
          <w:szCs w:val="24"/>
        </w:rPr>
        <w:t xml:space="preserve">9. Should faculty be able to apply </w:t>
      </w:r>
      <w:proofErr w:type="gramStart"/>
      <w:r w:rsidRPr="0080161B">
        <w:rPr>
          <w:rFonts w:cstheme="minorHAnsi"/>
          <w:sz w:val="24"/>
          <w:szCs w:val="24"/>
        </w:rPr>
        <w:t>for: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D3F05" w:rsidRPr="0080161B" w:rsidTr="00EA1A93">
        <w:trPr>
          <w:trHeight w:val="188"/>
        </w:trPr>
        <w:tc>
          <w:tcPr>
            <w:tcW w:w="3116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first vote (on all three)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second vote (only second and third option)</w:t>
            </w:r>
          </w:p>
        </w:tc>
      </w:tr>
      <w:tr w:rsidR="002D3F05" w:rsidRPr="0080161B" w:rsidTr="00EA1A93">
        <w:tc>
          <w:tcPr>
            <w:tcW w:w="3116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only one award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3F05" w:rsidRPr="0080161B" w:rsidTr="00EA1A93">
        <w:tc>
          <w:tcPr>
            <w:tcW w:w="3116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only one award per pool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</w:tr>
      <w:tr w:rsidR="002D3F05" w:rsidRPr="0080161B" w:rsidTr="00EA1A93">
        <w:tc>
          <w:tcPr>
            <w:tcW w:w="3116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as many awards as they want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</w:tr>
    </w:tbl>
    <w:p w:rsidR="00C82261" w:rsidRPr="0080161B" w:rsidRDefault="00C82261" w:rsidP="00C82261">
      <w:pPr>
        <w:rPr>
          <w:rFonts w:asciiTheme="minorHAnsi" w:hAnsiTheme="minorHAnsi" w:cstheme="minorHAnsi"/>
          <w:sz w:val="24"/>
          <w:szCs w:val="24"/>
        </w:rPr>
      </w:pPr>
    </w:p>
    <w:p w:rsidR="002D3F05" w:rsidRPr="0080161B" w:rsidRDefault="002D3F05" w:rsidP="00C82261">
      <w:pPr>
        <w:rPr>
          <w:rFonts w:asciiTheme="minorHAnsi" w:hAnsiTheme="minorHAnsi" w:cstheme="minorHAnsi"/>
          <w:sz w:val="24"/>
          <w:szCs w:val="24"/>
        </w:rPr>
      </w:pPr>
      <w:r w:rsidRPr="0080161B">
        <w:rPr>
          <w:rFonts w:asciiTheme="minorHAnsi" w:hAnsiTheme="minorHAnsi" w:cstheme="minorHAnsi"/>
          <w:sz w:val="24"/>
          <w:szCs w:val="24"/>
        </w:rPr>
        <w:t>Straw poll on number of units possible for RSCA:</w:t>
      </w:r>
    </w:p>
    <w:p w:rsidR="00C82261" w:rsidRPr="0080161B" w:rsidRDefault="00C82261" w:rsidP="00C82261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2D3F05" w:rsidRPr="0080161B" w:rsidTr="00EA1A93">
        <w:tc>
          <w:tcPr>
            <w:tcW w:w="3116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FPPC proposal (4 units)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</w:tr>
      <w:tr w:rsidR="002D3F05" w:rsidRPr="0080161B" w:rsidTr="00EA1A93">
        <w:tc>
          <w:tcPr>
            <w:tcW w:w="3116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Alternative 1 (3 units)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</w:tr>
      <w:tr w:rsidR="002D3F05" w:rsidRPr="0080161B" w:rsidTr="00EA1A93">
        <w:tc>
          <w:tcPr>
            <w:tcW w:w="3116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Alternative 2 (6 units)</w:t>
            </w:r>
          </w:p>
        </w:tc>
        <w:tc>
          <w:tcPr>
            <w:tcW w:w="3117" w:type="dxa"/>
          </w:tcPr>
          <w:p w:rsidR="002D3F05" w:rsidRPr="0080161B" w:rsidRDefault="002D3F05" w:rsidP="00EA1A9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0161B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</w:tr>
    </w:tbl>
    <w:p w:rsidR="002D3F05" w:rsidRPr="00125156" w:rsidRDefault="002D3F05" w:rsidP="002D3F05">
      <w:pPr>
        <w:pStyle w:val="ListParagraph"/>
        <w:ind w:left="1440"/>
        <w:rPr>
          <w:rFonts w:ascii="Calibri" w:hAnsi="Calibri" w:cs="Calibri"/>
          <w:b/>
          <w:bCs/>
          <w:sz w:val="24"/>
          <w:szCs w:val="24"/>
        </w:rPr>
      </w:pPr>
    </w:p>
    <w:p w:rsidR="00125156" w:rsidRDefault="00125156" w:rsidP="00125156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</w:p>
    <w:p w:rsidR="00CB4095" w:rsidRDefault="00CB4095" w:rsidP="00CB4095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Moved by AC to go back to agenda to vote on the motion to replace lines 46-47 with lines 48-50</w:t>
      </w:r>
    </w:p>
    <w:p w:rsidR="00CB4095" w:rsidRDefault="00CB4095" w:rsidP="00CB4095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Motion by NH to refer to straw poll and rewrite policy for vote in 2 weeks.</w:t>
      </w:r>
    </w:p>
    <w:p w:rsidR="00CB4095" w:rsidRDefault="00FB604C" w:rsidP="00CB4095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Quorum called for by Dean Pavri, we have quorum</w:t>
      </w:r>
    </w:p>
    <w:p w:rsidR="00FB604C" w:rsidRPr="007724C1" w:rsidRDefault="00FB604C" w:rsidP="00CB4095">
      <w:pPr>
        <w:pStyle w:val="ListParagraph"/>
        <w:ind w:left="180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Straw poll on # of units allowed by RSCA, A=26   B=7   C=10</w:t>
      </w:r>
    </w:p>
    <w:p w:rsidR="00384B7A" w:rsidRDefault="00950C3B" w:rsidP="002C6F77">
      <w:pPr>
        <w:ind w:left="144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6.3</w:t>
      </w:r>
      <w:r w:rsidR="002C6F77">
        <w:rPr>
          <w:rFonts w:ascii="Calibri" w:hAnsi="Calibri" w:cs="Calibri"/>
          <w:bCs/>
          <w:sz w:val="24"/>
          <w:szCs w:val="24"/>
        </w:rPr>
        <w:tab/>
      </w:r>
      <w:r w:rsidR="00384B7A">
        <w:rPr>
          <w:rFonts w:ascii="Calibri" w:hAnsi="Calibri" w:cs="Calibri"/>
          <w:bCs/>
          <w:sz w:val="24"/>
          <w:szCs w:val="24"/>
        </w:rPr>
        <w:t xml:space="preserve">Proposed revision of Policy on Avoidance of Conflict of Interest </w:t>
      </w:r>
      <w:r w:rsidR="00E41CFB">
        <w:rPr>
          <w:rFonts w:ascii="Calibri" w:hAnsi="Calibri" w:cs="Calibri"/>
          <w:bCs/>
          <w:sz w:val="24"/>
          <w:szCs w:val="24"/>
        </w:rPr>
        <w:t>P</w:t>
      </w:r>
      <w:r w:rsidR="00384B7A">
        <w:rPr>
          <w:rFonts w:ascii="Calibri" w:hAnsi="Calibri" w:cs="Calibri"/>
          <w:bCs/>
          <w:sz w:val="24"/>
          <w:szCs w:val="24"/>
        </w:rPr>
        <w:t xml:space="preserve">S 99-15 and Policy on Nepotism </w:t>
      </w:r>
      <w:r w:rsidR="00E41CFB">
        <w:rPr>
          <w:rFonts w:ascii="Calibri" w:hAnsi="Calibri" w:cs="Calibri"/>
          <w:bCs/>
          <w:sz w:val="24"/>
          <w:szCs w:val="24"/>
        </w:rPr>
        <w:t>P</w:t>
      </w:r>
      <w:r w:rsidR="00384B7A">
        <w:rPr>
          <w:rFonts w:ascii="Calibri" w:hAnsi="Calibri" w:cs="Calibri"/>
          <w:bCs/>
          <w:sz w:val="24"/>
          <w:szCs w:val="24"/>
        </w:rPr>
        <w:t>S 05-10 (</w:t>
      </w:r>
      <w:r w:rsidR="00031A46">
        <w:rPr>
          <w:rFonts w:ascii="Calibri" w:hAnsi="Calibri" w:cs="Calibri"/>
          <w:bCs/>
          <w:sz w:val="24"/>
          <w:szCs w:val="24"/>
        </w:rPr>
        <w:t>A</w:t>
      </w:r>
      <w:r w:rsidR="00384B7A">
        <w:rPr>
          <w:rFonts w:ascii="Calibri" w:hAnsi="Calibri" w:cs="Calibri"/>
          <w:bCs/>
          <w:sz w:val="24"/>
          <w:szCs w:val="24"/>
        </w:rPr>
        <w:t>S-968-17/FPPC)—</w:t>
      </w:r>
      <w:r w:rsidR="008B6EF9">
        <w:rPr>
          <w:rFonts w:ascii="Calibri" w:hAnsi="Calibri" w:cs="Calibri"/>
          <w:bCs/>
          <w:sz w:val="24"/>
          <w:szCs w:val="24"/>
        </w:rPr>
        <w:t>SECOND</w:t>
      </w:r>
      <w:r w:rsidR="00384B7A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E00435" w:rsidRDefault="00950C3B" w:rsidP="00E00435">
      <w:pPr>
        <w:ind w:left="1440" w:hanging="72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6.4</w:t>
      </w:r>
      <w:r w:rsidR="00E00435">
        <w:rPr>
          <w:rFonts w:ascii="Calibri" w:hAnsi="Calibri" w:cs="Calibri"/>
          <w:bCs/>
          <w:sz w:val="24"/>
          <w:szCs w:val="24"/>
        </w:rPr>
        <w:tab/>
        <w:t>Proposed revision of Policy on Faculty Awards PS 12-06 (AS-1067-18/FPPC)—</w:t>
      </w:r>
      <w:r w:rsidR="00617FCD">
        <w:rPr>
          <w:rFonts w:ascii="Calibri" w:hAnsi="Calibri" w:cs="Calibri"/>
          <w:bCs/>
          <w:sz w:val="24"/>
          <w:szCs w:val="24"/>
        </w:rPr>
        <w:t>SECOND</w:t>
      </w:r>
      <w:r w:rsidR="00E0043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E00435" w:rsidRPr="002C6F77" w:rsidRDefault="00950C3B" w:rsidP="00E00435">
      <w:pPr>
        <w:ind w:left="1440" w:hanging="720"/>
        <w:rPr>
          <w:rFonts w:ascii="Calibri" w:hAnsi="Calibri" w:cs="Calibri"/>
          <w:bCs/>
          <w:sz w:val="24"/>
          <w:szCs w:val="24"/>
        </w:rPr>
      </w:pPr>
      <w:proofErr w:type="gramStart"/>
      <w:r>
        <w:rPr>
          <w:rFonts w:ascii="Calibri" w:hAnsi="Calibri" w:cs="Calibri"/>
          <w:bCs/>
          <w:sz w:val="24"/>
          <w:szCs w:val="24"/>
        </w:rPr>
        <w:t>6.5</w:t>
      </w:r>
      <w:proofErr w:type="gramEnd"/>
      <w:r w:rsidR="00E00435">
        <w:rPr>
          <w:rFonts w:ascii="Calibri" w:hAnsi="Calibri" w:cs="Calibri"/>
          <w:bCs/>
          <w:sz w:val="24"/>
          <w:szCs w:val="24"/>
        </w:rPr>
        <w:tab/>
        <w:t>Proposed revision of Charge of University Mini-Grant and Summer Stipend Committee (UMGSSC) (AS-1068-18/FPPC)—</w:t>
      </w:r>
      <w:r w:rsidR="00617FCD">
        <w:rPr>
          <w:rFonts w:ascii="Calibri" w:hAnsi="Calibri" w:cs="Calibri"/>
          <w:bCs/>
          <w:sz w:val="24"/>
          <w:szCs w:val="24"/>
        </w:rPr>
        <w:t>SECOND</w:t>
      </w:r>
      <w:r w:rsidR="00E00435">
        <w:rPr>
          <w:rFonts w:ascii="Calibri" w:hAnsi="Calibri" w:cs="Calibri"/>
          <w:bCs/>
          <w:sz w:val="24"/>
          <w:szCs w:val="24"/>
        </w:rPr>
        <w:t xml:space="preserve"> READING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721326" w:rsidRDefault="00340053" w:rsidP="002C6F77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  <w:r w:rsidR="00FB604C">
        <w:rPr>
          <w:rFonts w:ascii="Calibri" w:hAnsi="Calibri" w:cs="Calibri"/>
          <w:sz w:val="24"/>
          <w:szCs w:val="24"/>
        </w:rPr>
        <w:t>=4:00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5D" w:rsidRDefault="0079125D">
      <w:r>
        <w:separator/>
      </w:r>
    </w:p>
  </w:endnote>
  <w:endnote w:type="continuationSeparator" w:id="0">
    <w:p w:rsidR="0079125D" w:rsidRDefault="0079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5D" w:rsidRDefault="0079125D">
      <w:r>
        <w:separator/>
      </w:r>
    </w:p>
  </w:footnote>
  <w:footnote w:type="continuationSeparator" w:id="0">
    <w:p w:rsidR="0079125D" w:rsidRDefault="00791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0161B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3DC72AF8"/>
    <w:multiLevelType w:val="hybridMultilevel"/>
    <w:tmpl w:val="F2CC4064"/>
    <w:lvl w:ilvl="0" w:tplc="58FC468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494E0B31"/>
    <w:multiLevelType w:val="hybridMultilevel"/>
    <w:tmpl w:val="B48024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2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2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4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2"/>
  </w:num>
  <w:num w:numId="2">
    <w:abstractNumId w:val="23"/>
  </w:num>
  <w:num w:numId="3">
    <w:abstractNumId w:val="24"/>
  </w:num>
  <w:num w:numId="4">
    <w:abstractNumId w:val="9"/>
  </w:num>
  <w:num w:numId="5">
    <w:abstractNumId w:val="3"/>
  </w:num>
  <w:num w:numId="6">
    <w:abstractNumId w:val="16"/>
  </w:num>
  <w:num w:numId="7">
    <w:abstractNumId w:val="15"/>
  </w:num>
  <w:num w:numId="8">
    <w:abstractNumId w:val="11"/>
  </w:num>
  <w:num w:numId="9">
    <w:abstractNumId w:val="6"/>
  </w:num>
  <w:num w:numId="10">
    <w:abstractNumId w:val="21"/>
  </w:num>
  <w:num w:numId="11">
    <w:abstractNumId w:val="2"/>
  </w:num>
  <w:num w:numId="12">
    <w:abstractNumId w:val="1"/>
  </w:num>
  <w:num w:numId="13">
    <w:abstractNumId w:val="12"/>
  </w:num>
  <w:num w:numId="14">
    <w:abstractNumId w:val="7"/>
  </w:num>
  <w:num w:numId="15">
    <w:abstractNumId w:val="13"/>
  </w:num>
  <w:num w:numId="16">
    <w:abstractNumId w:val="17"/>
  </w:num>
  <w:num w:numId="17">
    <w:abstractNumId w:val="18"/>
  </w:num>
  <w:num w:numId="18">
    <w:abstractNumId w:val="20"/>
  </w:num>
  <w:num w:numId="19">
    <w:abstractNumId w:val="19"/>
  </w:num>
  <w:num w:numId="20">
    <w:abstractNumId w:val="0"/>
  </w:num>
  <w:num w:numId="21">
    <w:abstractNumId w:val="5"/>
  </w:num>
  <w:num w:numId="22">
    <w:abstractNumId w:val="4"/>
  </w:num>
  <w:num w:numId="23">
    <w:abstractNumId w:val="14"/>
  </w:num>
  <w:num w:numId="24">
    <w:abstractNumId w:val="1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2D38"/>
    <w:rsid w:val="000232E0"/>
    <w:rsid w:val="0003150F"/>
    <w:rsid w:val="00031956"/>
    <w:rsid w:val="00031A46"/>
    <w:rsid w:val="0003276A"/>
    <w:rsid w:val="00037295"/>
    <w:rsid w:val="00040166"/>
    <w:rsid w:val="000405D2"/>
    <w:rsid w:val="00040C54"/>
    <w:rsid w:val="000450EC"/>
    <w:rsid w:val="00050C4B"/>
    <w:rsid w:val="00051751"/>
    <w:rsid w:val="00052F97"/>
    <w:rsid w:val="000537C6"/>
    <w:rsid w:val="00053A31"/>
    <w:rsid w:val="00054B78"/>
    <w:rsid w:val="000661DC"/>
    <w:rsid w:val="00071554"/>
    <w:rsid w:val="0007344C"/>
    <w:rsid w:val="00073CDF"/>
    <w:rsid w:val="00077461"/>
    <w:rsid w:val="0007750C"/>
    <w:rsid w:val="00077CCA"/>
    <w:rsid w:val="000807A0"/>
    <w:rsid w:val="00082D29"/>
    <w:rsid w:val="0008634E"/>
    <w:rsid w:val="00086CBA"/>
    <w:rsid w:val="0009027A"/>
    <w:rsid w:val="00092A15"/>
    <w:rsid w:val="00093E4A"/>
    <w:rsid w:val="0009486B"/>
    <w:rsid w:val="00094C57"/>
    <w:rsid w:val="00097162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8BF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8B0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5156"/>
    <w:rsid w:val="00127E83"/>
    <w:rsid w:val="001310D1"/>
    <w:rsid w:val="001320A6"/>
    <w:rsid w:val="001333B8"/>
    <w:rsid w:val="001342A5"/>
    <w:rsid w:val="00137BB2"/>
    <w:rsid w:val="001405FD"/>
    <w:rsid w:val="00140A10"/>
    <w:rsid w:val="0014281A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019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96512"/>
    <w:rsid w:val="001A0002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1448"/>
    <w:rsid w:val="001C2613"/>
    <w:rsid w:val="001C33E5"/>
    <w:rsid w:val="001C6CCE"/>
    <w:rsid w:val="001C7F14"/>
    <w:rsid w:val="001D662C"/>
    <w:rsid w:val="001D6F68"/>
    <w:rsid w:val="001E3BB3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5FC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8A4"/>
    <w:rsid w:val="00267A91"/>
    <w:rsid w:val="00273A2D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BEF"/>
    <w:rsid w:val="002A1D4F"/>
    <w:rsid w:val="002A36A7"/>
    <w:rsid w:val="002A3A5B"/>
    <w:rsid w:val="002A3DEE"/>
    <w:rsid w:val="002A4549"/>
    <w:rsid w:val="002A5492"/>
    <w:rsid w:val="002A5700"/>
    <w:rsid w:val="002A6D9B"/>
    <w:rsid w:val="002A6EB9"/>
    <w:rsid w:val="002A7FE7"/>
    <w:rsid w:val="002B204C"/>
    <w:rsid w:val="002B20E1"/>
    <w:rsid w:val="002B7B29"/>
    <w:rsid w:val="002C085E"/>
    <w:rsid w:val="002C292D"/>
    <w:rsid w:val="002C2A9E"/>
    <w:rsid w:val="002C6551"/>
    <w:rsid w:val="002C6F77"/>
    <w:rsid w:val="002D3F05"/>
    <w:rsid w:val="002D5C6E"/>
    <w:rsid w:val="002E041E"/>
    <w:rsid w:val="002E30DD"/>
    <w:rsid w:val="002E41B0"/>
    <w:rsid w:val="002E43B8"/>
    <w:rsid w:val="002E6302"/>
    <w:rsid w:val="002E6FB7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080"/>
    <w:rsid w:val="00331FF1"/>
    <w:rsid w:val="00332A45"/>
    <w:rsid w:val="00332B1B"/>
    <w:rsid w:val="00334827"/>
    <w:rsid w:val="00335316"/>
    <w:rsid w:val="00336589"/>
    <w:rsid w:val="00336979"/>
    <w:rsid w:val="00340053"/>
    <w:rsid w:val="003438CA"/>
    <w:rsid w:val="00345C75"/>
    <w:rsid w:val="0035114C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4B7A"/>
    <w:rsid w:val="003851E8"/>
    <w:rsid w:val="00385A70"/>
    <w:rsid w:val="00385B95"/>
    <w:rsid w:val="00385F26"/>
    <w:rsid w:val="003879DB"/>
    <w:rsid w:val="0039309B"/>
    <w:rsid w:val="00394295"/>
    <w:rsid w:val="00394FCA"/>
    <w:rsid w:val="0039638E"/>
    <w:rsid w:val="003A1C26"/>
    <w:rsid w:val="003A1FE7"/>
    <w:rsid w:val="003B0740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5672D"/>
    <w:rsid w:val="0046428D"/>
    <w:rsid w:val="00464B42"/>
    <w:rsid w:val="0046613D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1201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3F33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5505"/>
    <w:rsid w:val="00566F83"/>
    <w:rsid w:val="00567B68"/>
    <w:rsid w:val="00570490"/>
    <w:rsid w:val="00570CF2"/>
    <w:rsid w:val="00591304"/>
    <w:rsid w:val="005933CD"/>
    <w:rsid w:val="0059670C"/>
    <w:rsid w:val="0059763A"/>
    <w:rsid w:val="00597870"/>
    <w:rsid w:val="005A1405"/>
    <w:rsid w:val="005A26F7"/>
    <w:rsid w:val="005A4962"/>
    <w:rsid w:val="005A5280"/>
    <w:rsid w:val="005B372A"/>
    <w:rsid w:val="005B471F"/>
    <w:rsid w:val="005B58FB"/>
    <w:rsid w:val="005C18CF"/>
    <w:rsid w:val="005C1EBD"/>
    <w:rsid w:val="005C2F15"/>
    <w:rsid w:val="005C3824"/>
    <w:rsid w:val="005C3FA2"/>
    <w:rsid w:val="005C6AB4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16DB"/>
    <w:rsid w:val="005F28DE"/>
    <w:rsid w:val="005F36A7"/>
    <w:rsid w:val="005F78B9"/>
    <w:rsid w:val="006004F5"/>
    <w:rsid w:val="006010FB"/>
    <w:rsid w:val="00603311"/>
    <w:rsid w:val="00603608"/>
    <w:rsid w:val="00603868"/>
    <w:rsid w:val="00607648"/>
    <w:rsid w:val="006103DB"/>
    <w:rsid w:val="00610AD1"/>
    <w:rsid w:val="00613AFA"/>
    <w:rsid w:val="0061545F"/>
    <w:rsid w:val="00615AB1"/>
    <w:rsid w:val="00615B30"/>
    <w:rsid w:val="006174B8"/>
    <w:rsid w:val="00617FCD"/>
    <w:rsid w:val="00624D75"/>
    <w:rsid w:val="00625F66"/>
    <w:rsid w:val="0062691B"/>
    <w:rsid w:val="00627349"/>
    <w:rsid w:val="006317FA"/>
    <w:rsid w:val="00632D05"/>
    <w:rsid w:val="00633985"/>
    <w:rsid w:val="0063557F"/>
    <w:rsid w:val="00635B38"/>
    <w:rsid w:val="00640D29"/>
    <w:rsid w:val="00641BF9"/>
    <w:rsid w:val="00645710"/>
    <w:rsid w:val="0064667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3165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1326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57B9D"/>
    <w:rsid w:val="00757EFF"/>
    <w:rsid w:val="0076050E"/>
    <w:rsid w:val="0076194D"/>
    <w:rsid w:val="00761B0E"/>
    <w:rsid w:val="00761D1B"/>
    <w:rsid w:val="00763BA5"/>
    <w:rsid w:val="00767841"/>
    <w:rsid w:val="0077049D"/>
    <w:rsid w:val="007724C1"/>
    <w:rsid w:val="0077352F"/>
    <w:rsid w:val="00773DED"/>
    <w:rsid w:val="007752D3"/>
    <w:rsid w:val="00775340"/>
    <w:rsid w:val="007759F0"/>
    <w:rsid w:val="00775BC4"/>
    <w:rsid w:val="00776B2D"/>
    <w:rsid w:val="007840DB"/>
    <w:rsid w:val="00784847"/>
    <w:rsid w:val="00784F83"/>
    <w:rsid w:val="007866CF"/>
    <w:rsid w:val="0079125D"/>
    <w:rsid w:val="007A366E"/>
    <w:rsid w:val="007A4EE5"/>
    <w:rsid w:val="007A7830"/>
    <w:rsid w:val="007B22EF"/>
    <w:rsid w:val="007B4D17"/>
    <w:rsid w:val="007B7EFB"/>
    <w:rsid w:val="007B7FEA"/>
    <w:rsid w:val="007C168F"/>
    <w:rsid w:val="007C3E95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12A"/>
    <w:rsid w:val="007F2ECA"/>
    <w:rsid w:val="007F62D3"/>
    <w:rsid w:val="007F6ACC"/>
    <w:rsid w:val="007F72BF"/>
    <w:rsid w:val="007F7682"/>
    <w:rsid w:val="008001A6"/>
    <w:rsid w:val="00801110"/>
    <w:rsid w:val="0080161B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5AD"/>
    <w:rsid w:val="008318CF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0B1B"/>
    <w:rsid w:val="00862C0B"/>
    <w:rsid w:val="00863B67"/>
    <w:rsid w:val="00863DBD"/>
    <w:rsid w:val="00864AF4"/>
    <w:rsid w:val="00867142"/>
    <w:rsid w:val="00867BD2"/>
    <w:rsid w:val="0087084C"/>
    <w:rsid w:val="0087550B"/>
    <w:rsid w:val="0087551F"/>
    <w:rsid w:val="008823F1"/>
    <w:rsid w:val="0088416F"/>
    <w:rsid w:val="0088473C"/>
    <w:rsid w:val="00885805"/>
    <w:rsid w:val="00886748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B6EF9"/>
    <w:rsid w:val="008C0B2A"/>
    <w:rsid w:val="008C19FF"/>
    <w:rsid w:val="008C7354"/>
    <w:rsid w:val="008D2E7A"/>
    <w:rsid w:val="008D2F99"/>
    <w:rsid w:val="008D73B0"/>
    <w:rsid w:val="008E1799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0077"/>
    <w:rsid w:val="009342E0"/>
    <w:rsid w:val="00934606"/>
    <w:rsid w:val="00934EED"/>
    <w:rsid w:val="009351DF"/>
    <w:rsid w:val="0094004B"/>
    <w:rsid w:val="009429F1"/>
    <w:rsid w:val="00946EE0"/>
    <w:rsid w:val="00947811"/>
    <w:rsid w:val="00950C3B"/>
    <w:rsid w:val="00951B5E"/>
    <w:rsid w:val="00951F88"/>
    <w:rsid w:val="00954F74"/>
    <w:rsid w:val="00960FF7"/>
    <w:rsid w:val="00964039"/>
    <w:rsid w:val="009643FC"/>
    <w:rsid w:val="00964E22"/>
    <w:rsid w:val="00965845"/>
    <w:rsid w:val="00966DFA"/>
    <w:rsid w:val="00967586"/>
    <w:rsid w:val="00967BAC"/>
    <w:rsid w:val="009738C8"/>
    <w:rsid w:val="00977C32"/>
    <w:rsid w:val="00977F4A"/>
    <w:rsid w:val="0098038D"/>
    <w:rsid w:val="00982D81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691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D7736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150"/>
    <w:rsid w:val="00A02996"/>
    <w:rsid w:val="00A02D48"/>
    <w:rsid w:val="00A05FD2"/>
    <w:rsid w:val="00A06CBD"/>
    <w:rsid w:val="00A138E7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16E0"/>
    <w:rsid w:val="00A42B59"/>
    <w:rsid w:val="00A44F3E"/>
    <w:rsid w:val="00A476BF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3E50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B6FD6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E1551"/>
    <w:rsid w:val="00AE4346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0003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3762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758"/>
    <w:rsid w:val="00B70A8D"/>
    <w:rsid w:val="00B71862"/>
    <w:rsid w:val="00B76C0C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5D0"/>
    <w:rsid w:val="00BC2ED2"/>
    <w:rsid w:val="00BC3246"/>
    <w:rsid w:val="00BC38B2"/>
    <w:rsid w:val="00BC5C62"/>
    <w:rsid w:val="00BC6697"/>
    <w:rsid w:val="00BC6E9E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2B49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305A"/>
    <w:rsid w:val="00C75594"/>
    <w:rsid w:val="00C80DE3"/>
    <w:rsid w:val="00C812BC"/>
    <w:rsid w:val="00C82261"/>
    <w:rsid w:val="00C90BFD"/>
    <w:rsid w:val="00C90D45"/>
    <w:rsid w:val="00C91BDE"/>
    <w:rsid w:val="00C92BE6"/>
    <w:rsid w:val="00C962EF"/>
    <w:rsid w:val="00C964B3"/>
    <w:rsid w:val="00C977C3"/>
    <w:rsid w:val="00CA0E4F"/>
    <w:rsid w:val="00CA4B55"/>
    <w:rsid w:val="00CB242F"/>
    <w:rsid w:val="00CB24E3"/>
    <w:rsid w:val="00CB3CAF"/>
    <w:rsid w:val="00CB4095"/>
    <w:rsid w:val="00CB4F01"/>
    <w:rsid w:val="00CB51DE"/>
    <w:rsid w:val="00CB6D61"/>
    <w:rsid w:val="00CC01D1"/>
    <w:rsid w:val="00CC0DAB"/>
    <w:rsid w:val="00CC465E"/>
    <w:rsid w:val="00CC4A62"/>
    <w:rsid w:val="00CD0D48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2C3A"/>
    <w:rsid w:val="00D24010"/>
    <w:rsid w:val="00D272E8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793"/>
    <w:rsid w:val="00D77C45"/>
    <w:rsid w:val="00D80669"/>
    <w:rsid w:val="00D80CD7"/>
    <w:rsid w:val="00D8168F"/>
    <w:rsid w:val="00D81EA9"/>
    <w:rsid w:val="00D84E75"/>
    <w:rsid w:val="00D90EE7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0435"/>
    <w:rsid w:val="00E006AE"/>
    <w:rsid w:val="00E035BB"/>
    <w:rsid w:val="00E0611F"/>
    <w:rsid w:val="00E0753C"/>
    <w:rsid w:val="00E1310E"/>
    <w:rsid w:val="00E15A8B"/>
    <w:rsid w:val="00E207DD"/>
    <w:rsid w:val="00E21647"/>
    <w:rsid w:val="00E302E5"/>
    <w:rsid w:val="00E307B5"/>
    <w:rsid w:val="00E32A75"/>
    <w:rsid w:val="00E374CE"/>
    <w:rsid w:val="00E375BF"/>
    <w:rsid w:val="00E40B6B"/>
    <w:rsid w:val="00E40D2C"/>
    <w:rsid w:val="00E41CFB"/>
    <w:rsid w:val="00E42699"/>
    <w:rsid w:val="00E426D5"/>
    <w:rsid w:val="00E46058"/>
    <w:rsid w:val="00E4623E"/>
    <w:rsid w:val="00E479A4"/>
    <w:rsid w:val="00E513A9"/>
    <w:rsid w:val="00E543B9"/>
    <w:rsid w:val="00E54D94"/>
    <w:rsid w:val="00E555F7"/>
    <w:rsid w:val="00E56BF7"/>
    <w:rsid w:val="00E6184B"/>
    <w:rsid w:val="00E6607C"/>
    <w:rsid w:val="00E66B9A"/>
    <w:rsid w:val="00E66ED3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1CF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037B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494"/>
    <w:rsid w:val="00F41746"/>
    <w:rsid w:val="00F42F66"/>
    <w:rsid w:val="00F4522D"/>
    <w:rsid w:val="00F45F12"/>
    <w:rsid w:val="00F50AC2"/>
    <w:rsid w:val="00F5151E"/>
    <w:rsid w:val="00F531D9"/>
    <w:rsid w:val="00F5327C"/>
    <w:rsid w:val="00F54F00"/>
    <w:rsid w:val="00F57A82"/>
    <w:rsid w:val="00F57D26"/>
    <w:rsid w:val="00F57E81"/>
    <w:rsid w:val="00F63152"/>
    <w:rsid w:val="00F63780"/>
    <w:rsid w:val="00F6609A"/>
    <w:rsid w:val="00F72093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957DE"/>
    <w:rsid w:val="00FA33DE"/>
    <w:rsid w:val="00FA4F6F"/>
    <w:rsid w:val="00FA523A"/>
    <w:rsid w:val="00FA6600"/>
    <w:rsid w:val="00FB0CA6"/>
    <w:rsid w:val="00FB1430"/>
    <w:rsid w:val="00FB3BAE"/>
    <w:rsid w:val="00FB55F8"/>
    <w:rsid w:val="00FB604C"/>
    <w:rsid w:val="00FB6F0C"/>
    <w:rsid w:val="00FC16E3"/>
    <w:rsid w:val="00FC2AC5"/>
    <w:rsid w:val="00FD00EC"/>
    <w:rsid w:val="00FD01B1"/>
    <w:rsid w:val="00FD2E8A"/>
    <w:rsid w:val="00FD57B0"/>
    <w:rsid w:val="00FD7256"/>
    <w:rsid w:val="00FE58C5"/>
    <w:rsid w:val="00FF01F4"/>
    <w:rsid w:val="00FF0B21"/>
    <w:rsid w:val="00FF330D"/>
    <w:rsid w:val="00FF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B3F169"/>
  <w15:docId w15:val="{2F78A9C7-E8EA-4919-90C5-4382F712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  <w:style w:type="table" w:styleId="TableGrid">
    <w:name w:val="Table Grid"/>
    <w:basedOn w:val="TableNormal"/>
    <w:uiPriority w:val="59"/>
    <w:rsid w:val="0012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EEBBF-8F78-4DD4-A0D0-E1E719F3F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Ann Kinsey</cp:lastModifiedBy>
  <cp:revision>3</cp:revision>
  <cp:lastPrinted>2018-10-26T14:42:00Z</cp:lastPrinted>
  <dcterms:created xsi:type="dcterms:W3CDTF">2018-11-20T16:42:00Z</dcterms:created>
  <dcterms:modified xsi:type="dcterms:W3CDTF">2018-11-20T16:46:00Z</dcterms:modified>
</cp:coreProperties>
</file>