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865" w:type="dxa"/>
        <w:tblLook w:val="04A0" w:firstRow="1" w:lastRow="0" w:firstColumn="1" w:lastColumn="0" w:noHBand="0" w:noVBand="1"/>
      </w:tblPr>
      <w:tblGrid>
        <w:gridCol w:w="1094"/>
        <w:gridCol w:w="2426"/>
        <w:gridCol w:w="3495"/>
        <w:gridCol w:w="2610"/>
        <w:gridCol w:w="3240"/>
      </w:tblGrid>
      <w:tr w:rsidR="00730CB0" w:rsidRPr="00730CB0" w14:paraId="52C96099" w14:textId="5061E928" w:rsidTr="00456AB3">
        <w:trPr>
          <w:trHeight w:val="791"/>
        </w:trPr>
        <w:tc>
          <w:tcPr>
            <w:tcW w:w="1094" w:type="dxa"/>
            <w:tcBorders>
              <w:bottom w:val="single" w:sz="4" w:space="0" w:color="auto"/>
            </w:tcBorders>
            <w:shd w:val="clear" w:color="auto" w:fill="000000" w:themeFill="text1"/>
          </w:tcPr>
          <w:p w14:paraId="3B2FF584" w14:textId="7FD02292" w:rsidR="00BF4B0F" w:rsidRPr="00730CB0" w:rsidRDefault="00314F0E" w:rsidP="00932615">
            <w:pPr>
              <w:rPr>
                <w:b/>
                <w:color w:val="FFFFFF" w:themeColor="background1"/>
              </w:rPr>
            </w:pPr>
            <w:r w:rsidRPr="00730CB0">
              <w:rPr>
                <w:b/>
                <w:color w:val="FFFFFF" w:themeColor="background1"/>
              </w:rPr>
              <w:t xml:space="preserve">By </w:t>
            </w:r>
            <w:r w:rsidR="00547DB2" w:rsidRPr="00730CB0">
              <w:rPr>
                <w:b/>
                <w:color w:val="FFFFFF" w:themeColor="background1"/>
              </w:rPr>
              <w:t>GE</w:t>
            </w:r>
            <w:r w:rsidR="00BF4B0F" w:rsidRPr="00730CB0">
              <w:rPr>
                <w:b/>
                <w:color w:val="FFFFFF" w:themeColor="background1"/>
              </w:rPr>
              <w:t xml:space="preserve"> Policy Section</w:t>
            </w:r>
            <w:r w:rsidR="00BD00F0" w:rsidRPr="00730CB0">
              <w:rPr>
                <w:rStyle w:val="FootnoteReference"/>
                <w:b/>
                <w:color w:val="FFFFFF" w:themeColor="background1"/>
              </w:rPr>
              <w:footnoteReference w:id="1"/>
            </w:r>
          </w:p>
        </w:tc>
        <w:tc>
          <w:tcPr>
            <w:tcW w:w="2426" w:type="dxa"/>
            <w:shd w:val="clear" w:color="auto" w:fill="000000" w:themeFill="text1"/>
          </w:tcPr>
          <w:p w14:paraId="57B1A906" w14:textId="297E372D" w:rsidR="00BF4B0F" w:rsidRPr="00730CB0" w:rsidRDefault="00BF4B0F" w:rsidP="004A09DA">
            <w:pPr>
              <w:rPr>
                <w:b/>
                <w:color w:val="FFFFFF" w:themeColor="background1"/>
              </w:rPr>
            </w:pPr>
            <w:r w:rsidRPr="00730CB0">
              <w:rPr>
                <w:b/>
                <w:color w:val="FFFFFF" w:themeColor="background1"/>
              </w:rPr>
              <w:t>Recommendations from Summer ad-hoc committee</w:t>
            </w:r>
          </w:p>
        </w:tc>
        <w:tc>
          <w:tcPr>
            <w:tcW w:w="3495" w:type="dxa"/>
            <w:shd w:val="clear" w:color="auto" w:fill="000000" w:themeFill="text1"/>
          </w:tcPr>
          <w:p w14:paraId="734F745F" w14:textId="16165A30" w:rsidR="00BF4B0F" w:rsidRPr="00730CB0" w:rsidRDefault="00BF4B0F">
            <w:pPr>
              <w:rPr>
                <w:b/>
                <w:color w:val="FFFFFF" w:themeColor="background1"/>
              </w:rPr>
            </w:pPr>
            <w:r w:rsidRPr="00730CB0">
              <w:rPr>
                <w:b/>
                <w:color w:val="FFFFFF" w:themeColor="background1"/>
              </w:rPr>
              <w:t>Recommendation from Fall College ad-hoc committee</w:t>
            </w:r>
          </w:p>
        </w:tc>
        <w:tc>
          <w:tcPr>
            <w:tcW w:w="2610" w:type="dxa"/>
            <w:shd w:val="clear" w:color="auto" w:fill="000000" w:themeFill="text1"/>
          </w:tcPr>
          <w:p w14:paraId="604BE640" w14:textId="2378FB5A" w:rsidR="00BF4B0F" w:rsidRPr="00730CB0" w:rsidRDefault="00BF4B0F">
            <w:pPr>
              <w:rPr>
                <w:b/>
                <w:color w:val="FFFFFF" w:themeColor="background1"/>
              </w:rPr>
            </w:pPr>
            <w:r w:rsidRPr="00730CB0">
              <w:rPr>
                <w:b/>
                <w:color w:val="FFFFFF" w:themeColor="background1"/>
              </w:rPr>
              <w:t>Recommendation from</w:t>
            </w:r>
          </w:p>
          <w:p w14:paraId="4A14E01C" w14:textId="056B86A5" w:rsidR="00BF4B0F" w:rsidRPr="00730CB0" w:rsidRDefault="00BF4B0F">
            <w:pPr>
              <w:rPr>
                <w:b/>
                <w:color w:val="FFFFFF" w:themeColor="background1"/>
              </w:rPr>
            </w:pPr>
            <w:r w:rsidRPr="00730CB0">
              <w:rPr>
                <w:b/>
                <w:color w:val="FFFFFF" w:themeColor="background1"/>
              </w:rPr>
              <w:t xml:space="preserve">GEGC </w:t>
            </w:r>
          </w:p>
        </w:tc>
        <w:tc>
          <w:tcPr>
            <w:tcW w:w="3240" w:type="dxa"/>
            <w:shd w:val="clear" w:color="auto" w:fill="000000" w:themeFill="text1"/>
          </w:tcPr>
          <w:p w14:paraId="0ABB696F" w14:textId="77777777" w:rsidR="00BF4B0F" w:rsidRPr="00730CB0" w:rsidRDefault="00BF4B0F" w:rsidP="00BF4B0F">
            <w:pPr>
              <w:rPr>
                <w:b/>
                <w:color w:val="FFFFFF" w:themeColor="background1"/>
              </w:rPr>
            </w:pPr>
            <w:r w:rsidRPr="00730CB0">
              <w:rPr>
                <w:b/>
                <w:color w:val="FFFFFF" w:themeColor="background1"/>
              </w:rPr>
              <w:t>Recommendation from</w:t>
            </w:r>
          </w:p>
          <w:p w14:paraId="573A9173" w14:textId="360BDEFF" w:rsidR="00BF4B0F" w:rsidRPr="00730CB0" w:rsidRDefault="00BF4B0F" w:rsidP="00BF4B0F">
            <w:pPr>
              <w:rPr>
                <w:b/>
                <w:color w:val="FFFFFF" w:themeColor="background1"/>
              </w:rPr>
            </w:pPr>
            <w:r w:rsidRPr="00730CB0">
              <w:rPr>
                <w:b/>
                <w:color w:val="FFFFFF" w:themeColor="background1"/>
              </w:rPr>
              <w:t>CEPC</w:t>
            </w:r>
          </w:p>
        </w:tc>
      </w:tr>
      <w:tr w:rsidR="00BF4B0F" w14:paraId="3DE52D53" w14:textId="7CEAD485" w:rsidTr="00456AB3">
        <w:tc>
          <w:tcPr>
            <w:tcW w:w="1094" w:type="dxa"/>
            <w:tcBorders>
              <w:bottom w:val="single" w:sz="4" w:space="0" w:color="auto"/>
            </w:tcBorders>
            <w:shd w:val="clear" w:color="auto" w:fill="BFBFBF" w:themeFill="background1" w:themeFillShade="BF"/>
          </w:tcPr>
          <w:p w14:paraId="1C08A398" w14:textId="242DCB30" w:rsidR="00BF4B0F" w:rsidRDefault="00BF4B0F" w:rsidP="00E179A6">
            <w:pPr>
              <w:rPr>
                <w:b/>
              </w:rPr>
            </w:pPr>
            <w:r>
              <w:rPr>
                <w:b/>
              </w:rPr>
              <w:t>3.3</w:t>
            </w:r>
            <w:r w:rsidR="0045186C">
              <w:rPr>
                <w:b/>
              </w:rPr>
              <w:t xml:space="preserve"> Preamble</w:t>
            </w:r>
          </w:p>
          <w:p w14:paraId="07ECFCBC" w14:textId="0416AE19" w:rsidR="00BF4B0F" w:rsidRPr="00902142" w:rsidRDefault="00BF4B0F" w:rsidP="00E179A6">
            <w:pPr>
              <w:rPr>
                <w:b/>
              </w:rPr>
            </w:pPr>
            <w:r>
              <w:rPr>
                <w:b/>
              </w:rPr>
              <w:t xml:space="preserve">(Lines </w:t>
            </w:r>
            <w:r w:rsidR="005C5234">
              <w:rPr>
                <w:b/>
              </w:rPr>
              <w:t>446</w:t>
            </w:r>
            <w:r>
              <w:rPr>
                <w:b/>
              </w:rPr>
              <w:t>-</w:t>
            </w:r>
            <w:r w:rsidR="005C5234">
              <w:rPr>
                <w:b/>
              </w:rPr>
              <w:t>458</w:t>
            </w:r>
            <w:r>
              <w:rPr>
                <w:b/>
              </w:rPr>
              <w:t>)</w:t>
            </w:r>
          </w:p>
        </w:tc>
        <w:tc>
          <w:tcPr>
            <w:tcW w:w="2426" w:type="dxa"/>
            <w:tcBorders>
              <w:bottom w:val="single" w:sz="4" w:space="0" w:color="auto"/>
            </w:tcBorders>
          </w:tcPr>
          <w:p w14:paraId="29A8627C" w14:textId="52E6B7BD" w:rsidR="00BF4B0F" w:rsidRDefault="00BF4B0F" w:rsidP="00867144">
            <w:r>
              <w:t>“</w:t>
            </w:r>
            <w:r w:rsidRPr="00867144">
              <w:t>All Upper-Division GE Courses must require students to demonstrate advanced college skills</w:t>
            </w:r>
            <w:r>
              <w:t xml:space="preserve"> </w:t>
            </w:r>
            <w:r w:rsidRPr="00867144">
              <w:t xml:space="preserve">such as </w:t>
            </w:r>
            <w:r>
              <w:t>s</w:t>
            </w:r>
            <w:r w:rsidRPr="00867144">
              <w:t>ynthesis and application of knowledge, analysis, critique, and research.</w:t>
            </w:r>
            <w:r>
              <w:t>”</w:t>
            </w:r>
          </w:p>
        </w:tc>
        <w:tc>
          <w:tcPr>
            <w:tcW w:w="3495" w:type="dxa"/>
            <w:tcBorders>
              <w:bottom w:val="single" w:sz="4" w:space="0" w:color="auto"/>
            </w:tcBorders>
          </w:tcPr>
          <w:p w14:paraId="3BD6ECA3" w14:textId="7823B941" w:rsidR="00BF4B0F" w:rsidRDefault="00BF4B0F">
            <w:r>
              <w:t>Recommended adding: “</w:t>
            </w:r>
            <w:r w:rsidRPr="00867144">
              <w:t>While Upper-Division GE Courses will only be classified as category B, C, or D, it is understood that at the upper division, such courses might involve the integration of these skills in a student’s major.  Project-based, interdisciplinary, and service learning courses are some examples where the emphasis on these skills will contribute to student success.”</w:t>
            </w:r>
          </w:p>
        </w:tc>
        <w:tc>
          <w:tcPr>
            <w:tcW w:w="2610" w:type="dxa"/>
            <w:tcBorders>
              <w:bottom w:val="single" w:sz="4" w:space="0" w:color="auto"/>
            </w:tcBorders>
          </w:tcPr>
          <w:p w14:paraId="3F410EE5" w14:textId="56609A2A" w:rsidR="00BF4B0F" w:rsidRDefault="00BF4B0F">
            <w:r>
              <w:t>Voted 10 to 8 to keep new text recommended by college ad-hoc committee</w:t>
            </w:r>
          </w:p>
        </w:tc>
        <w:tc>
          <w:tcPr>
            <w:tcW w:w="3240" w:type="dxa"/>
            <w:tcBorders>
              <w:bottom w:val="single" w:sz="4" w:space="0" w:color="auto"/>
            </w:tcBorders>
          </w:tcPr>
          <w:p w14:paraId="57E7FA29" w14:textId="20923603" w:rsidR="00BF4B0F" w:rsidRDefault="00BF4B0F">
            <w:r>
              <w:t>No objection raised to text recommended by Fall ad-hoc committee, other than small copy-editing suggestion (addition of word “level” to mentions of “lower division” or “upper division” throughout document)</w:t>
            </w:r>
          </w:p>
        </w:tc>
      </w:tr>
      <w:tr w:rsidR="00BF4B0F" w14:paraId="58F0D69A" w14:textId="7974DCDE" w:rsidTr="00456AB3">
        <w:tc>
          <w:tcPr>
            <w:tcW w:w="1094" w:type="dxa"/>
            <w:tcBorders>
              <w:bottom w:val="single" w:sz="4" w:space="0" w:color="auto"/>
            </w:tcBorders>
            <w:shd w:val="clear" w:color="auto" w:fill="BFBFBF" w:themeFill="background1" w:themeFillShade="BF"/>
          </w:tcPr>
          <w:p w14:paraId="04D32F86" w14:textId="77777777" w:rsidR="00BF4B0F" w:rsidRDefault="00BF4B0F" w:rsidP="00E179A6">
            <w:pPr>
              <w:rPr>
                <w:b/>
              </w:rPr>
            </w:pPr>
            <w:r w:rsidRPr="00902142">
              <w:rPr>
                <w:b/>
              </w:rPr>
              <w:t>3.3.2</w:t>
            </w:r>
          </w:p>
          <w:p w14:paraId="471EA336" w14:textId="29405510" w:rsidR="00BF4B0F" w:rsidRPr="00902142" w:rsidRDefault="00BF4B0F" w:rsidP="00E179A6">
            <w:pPr>
              <w:rPr>
                <w:b/>
              </w:rPr>
            </w:pPr>
            <w:r>
              <w:rPr>
                <w:b/>
              </w:rPr>
              <w:t>(Line</w:t>
            </w:r>
            <w:r w:rsidR="00966DD5">
              <w:rPr>
                <w:b/>
              </w:rPr>
              <w:t>s</w:t>
            </w:r>
            <w:r>
              <w:rPr>
                <w:b/>
              </w:rPr>
              <w:t xml:space="preserve"> </w:t>
            </w:r>
            <w:r w:rsidR="00674C4B">
              <w:rPr>
                <w:b/>
              </w:rPr>
              <w:t>464</w:t>
            </w:r>
            <w:r w:rsidR="00B43D31">
              <w:rPr>
                <w:b/>
              </w:rPr>
              <w:t>-</w:t>
            </w:r>
            <w:r w:rsidR="00840DAF">
              <w:rPr>
                <w:b/>
              </w:rPr>
              <w:t>466</w:t>
            </w:r>
            <w:r>
              <w:rPr>
                <w:b/>
              </w:rPr>
              <w:t>)</w:t>
            </w:r>
          </w:p>
        </w:tc>
        <w:tc>
          <w:tcPr>
            <w:tcW w:w="2426" w:type="dxa"/>
            <w:tcBorders>
              <w:bottom w:val="single" w:sz="4" w:space="0" w:color="auto"/>
            </w:tcBorders>
          </w:tcPr>
          <w:p w14:paraId="73080FC4" w14:textId="050C7FBE" w:rsidR="00BF4B0F" w:rsidRDefault="00BF4B0F" w:rsidP="00867C89">
            <w:r>
              <w:t>(Concerning UD classes) “</w:t>
            </w:r>
            <w:r w:rsidRPr="00867C89">
              <w:t>Each degree program may only have one class that both has prerequisites outside of GE (major-specific prerequisite) and fulfills a GE Area</w:t>
            </w:r>
            <w:r>
              <w:t xml:space="preserve">.” </w:t>
            </w:r>
          </w:p>
        </w:tc>
        <w:tc>
          <w:tcPr>
            <w:tcW w:w="3495" w:type="dxa"/>
            <w:tcBorders>
              <w:bottom w:val="single" w:sz="4" w:space="0" w:color="auto"/>
            </w:tcBorders>
          </w:tcPr>
          <w:p w14:paraId="3E14D18E" w14:textId="693B83F9" w:rsidR="00BF4B0F" w:rsidRDefault="00BF4B0F">
            <w:r>
              <w:t>(Concerning UD classes)  Delete</w:t>
            </w:r>
            <w:r>
              <w:rPr>
                <w:rFonts w:ascii="Calibri" w:eastAsia="Calibri" w:hAnsi="Calibri" w:cs="Calibri"/>
              </w:rPr>
              <w:t xml:space="preserve"> “</w:t>
            </w:r>
            <w:r w:rsidRPr="000E0FAC">
              <w:rPr>
                <w:rFonts w:ascii="Calibri" w:eastAsia="Calibri" w:hAnsi="Calibri" w:cs="Calibri"/>
              </w:rPr>
              <w:t>Each degree program may only have one class that both has prerequisites outside of GE (major-specific prere</w:t>
            </w:r>
            <w:r>
              <w:rPr>
                <w:rFonts w:ascii="Calibri" w:eastAsia="Calibri" w:hAnsi="Calibri" w:cs="Calibri"/>
              </w:rPr>
              <w:t>quisite) and fulfills a GE Area,” allowing for any number of discipline-specific prerequisites in UD GE classes.</w:t>
            </w:r>
          </w:p>
        </w:tc>
        <w:tc>
          <w:tcPr>
            <w:tcW w:w="2610" w:type="dxa"/>
            <w:tcBorders>
              <w:bottom w:val="single" w:sz="4" w:space="0" w:color="auto"/>
            </w:tcBorders>
          </w:tcPr>
          <w:p w14:paraId="316DB35A" w14:textId="43834451" w:rsidR="00BF4B0F" w:rsidRDefault="00BF4B0F" w:rsidP="006359EE">
            <w:r>
              <w:t xml:space="preserve">Voted 16 to 1 in favor of </w:t>
            </w:r>
            <w:r w:rsidR="00AE60FB">
              <w:t xml:space="preserve">Fall </w:t>
            </w:r>
            <w:r>
              <w:t xml:space="preserve">ad-hoc committee </w:t>
            </w:r>
            <w:r w:rsidR="00735FCF">
              <w:t>recommendation</w:t>
            </w:r>
            <w:r>
              <w:t>, removing limit on (non-GE) prerequisites for UD GE classes</w:t>
            </w:r>
          </w:p>
        </w:tc>
        <w:tc>
          <w:tcPr>
            <w:tcW w:w="3240" w:type="dxa"/>
            <w:tcBorders>
              <w:bottom w:val="single" w:sz="4" w:space="0" w:color="auto"/>
            </w:tcBorders>
          </w:tcPr>
          <w:p w14:paraId="134A3905" w14:textId="29BC478A" w:rsidR="00BF4B0F" w:rsidRDefault="00D243A2" w:rsidP="006359EE">
            <w:r>
              <w:t xml:space="preserve">Voted </w:t>
            </w:r>
            <w:r w:rsidR="00AE60FB">
              <w:t>18</w:t>
            </w:r>
            <w:r>
              <w:t xml:space="preserve"> to </w:t>
            </w:r>
            <w:r w:rsidR="00AE60FB">
              <w:t>3</w:t>
            </w:r>
            <w:r>
              <w:t xml:space="preserve"> in favor of </w:t>
            </w:r>
            <w:r w:rsidR="00AE60FB">
              <w:t xml:space="preserve">Fall ad-hoc committee </w:t>
            </w:r>
            <w:r w:rsidR="00735FCF">
              <w:t>recommendation</w:t>
            </w:r>
            <w:r w:rsidR="00AE60FB">
              <w:t>, removing limit on (non-GE) prerequisites for UD GE classes</w:t>
            </w:r>
          </w:p>
        </w:tc>
      </w:tr>
      <w:tr w:rsidR="00BF4B0F" w14:paraId="50B4B261" w14:textId="05B15072" w:rsidTr="00456AB3">
        <w:tc>
          <w:tcPr>
            <w:tcW w:w="1094" w:type="dxa"/>
            <w:shd w:val="clear" w:color="auto" w:fill="BFBFBF" w:themeFill="background1" w:themeFillShade="BF"/>
          </w:tcPr>
          <w:p w14:paraId="1956E097" w14:textId="721D1687" w:rsidR="00BF4B0F" w:rsidRDefault="00E608E9">
            <w:pPr>
              <w:rPr>
                <w:b/>
              </w:rPr>
            </w:pPr>
            <w:r>
              <w:rPr>
                <w:b/>
              </w:rPr>
              <w:t>4</w:t>
            </w:r>
            <w:r w:rsidR="00BF4B0F" w:rsidRPr="00902142">
              <w:rPr>
                <w:b/>
              </w:rPr>
              <w:t>.0</w:t>
            </w:r>
          </w:p>
          <w:p w14:paraId="72FAC573" w14:textId="15DA1F5A" w:rsidR="00BF4B0F" w:rsidRPr="00902142" w:rsidRDefault="00BF4B0F">
            <w:pPr>
              <w:rPr>
                <w:b/>
              </w:rPr>
            </w:pPr>
            <w:r>
              <w:rPr>
                <w:b/>
              </w:rPr>
              <w:t>(Line</w:t>
            </w:r>
            <w:r w:rsidR="00966DD5">
              <w:rPr>
                <w:b/>
              </w:rPr>
              <w:t>s</w:t>
            </w:r>
            <w:r>
              <w:rPr>
                <w:b/>
              </w:rPr>
              <w:t xml:space="preserve"> </w:t>
            </w:r>
            <w:r w:rsidR="00674194">
              <w:rPr>
                <w:b/>
              </w:rPr>
              <w:t>472</w:t>
            </w:r>
            <w:r w:rsidR="007630CF">
              <w:rPr>
                <w:b/>
              </w:rPr>
              <w:t>-</w:t>
            </w:r>
            <w:r w:rsidR="00674194">
              <w:rPr>
                <w:b/>
              </w:rPr>
              <w:t>510</w:t>
            </w:r>
            <w:r>
              <w:rPr>
                <w:b/>
              </w:rPr>
              <w:t>)</w:t>
            </w:r>
          </w:p>
        </w:tc>
        <w:tc>
          <w:tcPr>
            <w:tcW w:w="2426" w:type="dxa"/>
          </w:tcPr>
          <w:p w14:paraId="175231B8" w14:textId="0F0A74ED" w:rsidR="00BF4B0F" w:rsidRDefault="00BF4B0F" w:rsidP="002C204C">
            <w:r>
              <w:t>Recommended creation of Concentrations, with specific criteria promoting interdisciplinary/ intercollegiate collaboration</w:t>
            </w:r>
          </w:p>
        </w:tc>
        <w:tc>
          <w:tcPr>
            <w:tcW w:w="3495" w:type="dxa"/>
          </w:tcPr>
          <w:p w14:paraId="3F558809" w14:textId="3667CB0D" w:rsidR="00BF4B0F" w:rsidRDefault="00BF4B0F" w:rsidP="002C204C">
            <w:r>
              <w:rPr>
                <w:rFonts w:ascii="Calibri" w:eastAsia="Calibri" w:hAnsi="Calibri" w:cs="Calibri"/>
              </w:rPr>
              <w:t>A</w:t>
            </w:r>
            <w:r w:rsidRPr="002C204C">
              <w:rPr>
                <w:rFonts w:ascii="Calibri" w:eastAsia="Calibri" w:hAnsi="Calibri" w:cs="Calibri"/>
              </w:rPr>
              <w:t>pprove</w:t>
            </w:r>
            <w:r>
              <w:rPr>
                <w:rFonts w:ascii="Calibri" w:eastAsia="Calibri" w:hAnsi="Calibri" w:cs="Calibri"/>
              </w:rPr>
              <w:t>d</w:t>
            </w:r>
            <w:r w:rsidRPr="002C204C">
              <w:rPr>
                <w:rFonts w:ascii="Calibri" w:eastAsia="Calibri" w:hAnsi="Calibri" w:cs="Calibri"/>
              </w:rPr>
              <w:t xml:space="preserve"> the concept of concentrations</w:t>
            </w:r>
            <w:r>
              <w:rPr>
                <w:rFonts w:ascii="Calibri" w:eastAsia="Calibri" w:hAnsi="Calibri" w:cs="Calibri"/>
              </w:rPr>
              <w:t xml:space="preserve">, </w:t>
            </w:r>
            <w:r w:rsidRPr="002C204C">
              <w:rPr>
                <w:rFonts w:ascii="Calibri" w:eastAsia="Calibri" w:hAnsi="Calibri" w:cs="Calibri"/>
              </w:rPr>
              <w:t>encourage development of pilots to determine procedural and implementations issues</w:t>
            </w:r>
          </w:p>
        </w:tc>
        <w:tc>
          <w:tcPr>
            <w:tcW w:w="2610" w:type="dxa"/>
          </w:tcPr>
          <w:p w14:paraId="0E279D13" w14:textId="1F7A0DDA" w:rsidR="00BF4B0F" w:rsidRDefault="00BF4B0F" w:rsidP="002C204C">
            <w:r w:rsidRPr="00BC00A8">
              <w:rPr>
                <w:i/>
              </w:rPr>
              <w:t>Did not address</w:t>
            </w:r>
            <w:r w:rsidR="00B05122">
              <w:rPr>
                <w:i/>
              </w:rPr>
              <w:t>.</w:t>
            </w:r>
            <w:bookmarkStart w:id="0" w:name="_GoBack"/>
            <w:bookmarkEnd w:id="0"/>
          </w:p>
        </w:tc>
        <w:tc>
          <w:tcPr>
            <w:tcW w:w="3240" w:type="dxa"/>
          </w:tcPr>
          <w:p w14:paraId="7E67D25E" w14:textId="0D9019CE" w:rsidR="00BF4B0F" w:rsidRPr="00BE5413" w:rsidRDefault="00B878D0" w:rsidP="002C204C">
            <w:r>
              <w:rPr>
                <w:rFonts w:ascii="Calibri" w:eastAsia="Calibri" w:hAnsi="Calibri" w:cs="Calibri"/>
              </w:rPr>
              <w:t>Voted</w:t>
            </w:r>
            <w:r w:rsidR="00DD22D7" w:rsidRPr="00314F0E">
              <w:t xml:space="preserve"> unanimous</w:t>
            </w:r>
            <w:r>
              <w:t>ly</w:t>
            </w:r>
            <w:r w:rsidR="00DD22D7" w:rsidRPr="00314F0E">
              <w:t xml:space="preserve"> </w:t>
            </w:r>
            <w:r>
              <w:t xml:space="preserve">to </w:t>
            </w:r>
            <w:r w:rsidR="0084067C">
              <w:t>support</w:t>
            </w:r>
            <w:r>
              <w:t xml:space="preserve"> the </w:t>
            </w:r>
            <w:r w:rsidR="005F4470" w:rsidRPr="002C204C">
              <w:rPr>
                <w:rFonts w:ascii="Calibri" w:eastAsia="Calibri" w:hAnsi="Calibri" w:cs="Calibri"/>
              </w:rPr>
              <w:t>concept of concentrations</w:t>
            </w:r>
            <w:r w:rsidR="005F4470">
              <w:rPr>
                <w:rFonts w:ascii="Calibri" w:eastAsia="Calibri" w:hAnsi="Calibri" w:cs="Calibri"/>
              </w:rPr>
              <w:t xml:space="preserve"> </w:t>
            </w:r>
            <w:r w:rsidR="0088777E">
              <w:t>(recommended name as “General Education Concentrations”)</w:t>
            </w:r>
            <w:r w:rsidR="00BE5413">
              <w:t xml:space="preserve">, with understanding that (1) those will be recognized in a student’s records (maybe through transcripts), (2) </w:t>
            </w:r>
            <w:r w:rsidR="0088777E">
              <w:t>students will be declaring them, allow</w:t>
            </w:r>
            <w:r w:rsidR="000A6533">
              <w:t>ing</w:t>
            </w:r>
            <w:r w:rsidR="0088777E">
              <w:t xml:space="preserve"> advisors to follow their progress </w:t>
            </w:r>
            <w:r w:rsidR="008B05EC">
              <w:t xml:space="preserve">in the GE </w:t>
            </w:r>
            <w:r w:rsidR="008B05EC">
              <w:lastRenderedPageBreak/>
              <w:t xml:space="preserve">Concentration </w:t>
            </w:r>
            <w:r w:rsidR="0088777E">
              <w:t>but (3) it’</w:t>
            </w:r>
            <w:r w:rsidR="003B69E8">
              <w:t>ll</w:t>
            </w:r>
            <w:r w:rsidR="0088777E">
              <w:t xml:space="preserve"> not delay a student’s graduation.  </w:t>
            </w:r>
            <w:r w:rsidR="00942FB8">
              <w:t xml:space="preserve">Similar to a </w:t>
            </w:r>
            <w:r w:rsidR="004B779D">
              <w:t>S</w:t>
            </w:r>
            <w:r w:rsidR="00942FB8">
              <w:t>ub-</w:t>
            </w:r>
            <w:r w:rsidR="004B779D">
              <w:t>P</w:t>
            </w:r>
            <w:r w:rsidR="00942FB8">
              <w:t xml:space="preserve">lan, </w:t>
            </w:r>
            <w:r w:rsidR="001149E7">
              <w:t>if a</w:t>
            </w:r>
            <w:r w:rsidR="0088777E">
              <w:t xml:space="preserve"> student does not finish a GE Concentration</w:t>
            </w:r>
            <w:r w:rsidR="008B05EC">
              <w:t xml:space="preserve"> but have finished their major(s) and minor(s), </w:t>
            </w:r>
            <w:r w:rsidR="00812519">
              <w:t>they’d be able to graduate.</w:t>
            </w:r>
          </w:p>
        </w:tc>
      </w:tr>
      <w:tr w:rsidR="00BF4B0F" w14:paraId="1907AD7A" w14:textId="6FFE5FC0" w:rsidTr="00456AB3">
        <w:trPr>
          <w:trHeight w:val="791"/>
        </w:trPr>
        <w:tc>
          <w:tcPr>
            <w:tcW w:w="1094" w:type="dxa"/>
            <w:shd w:val="clear" w:color="auto" w:fill="BFBFBF" w:themeFill="background1" w:themeFillShade="BF"/>
          </w:tcPr>
          <w:p w14:paraId="1657DD3A" w14:textId="563D7988" w:rsidR="00BF4B0F" w:rsidRDefault="0096059B">
            <w:pPr>
              <w:rPr>
                <w:b/>
              </w:rPr>
            </w:pPr>
            <w:r>
              <w:rPr>
                <w:b/>
              </w:rPr>
              <w:lastRenderedPageBreak/>
              <w:t>8</w:t>
            </w:r>
            <w:r w:rsidR="00BF4B0F" w:rsidRPr="00902142">
              <w:rPr>
                <w:b/>
              </w:rPr>
              <w:t>.0</w:t>
            </w:r>
          </w:p>
          <w:p w14:paraId="3F2C1BC3" w14:textId="2BC50F2D" w:rsidR="00BF4B0F" w:rsidRPr="00902142" w:rsidRDefault="00BF4B0F">
            <w:pPr>
              <w:rPr>
                <w:b/>
              </w:rPr>
            </w:pPr>
            <w:r>
              <w:rPr>
                <w:b/>
              </w:rPr>
              <w:t>(Line</w:t>
            </w:r>
            <w:r w:rsidR="00966DD5">
              <w:rPr>
                <w:b/>
              </w:rPr>
              <w:t>s</w:t>
            </w:r>
            <w:r>
              <w:rPr>
                <w:b/>
              </w:rPr>
              <w:t xml:space="preserve"> </w:t>
            </w:r>
            <w:r w:rsidR="001A6DF7">
              <w:rPr>
                <w:b/>
              </w:rPr>
              <w:t>576-617</w:t>
            </w:r>
            <w:r>
              <w:rPr>
                <w:b/>
              </w:rPr>
              <w:t>)</w:t>
            </w:r>
          </w:p>
        </w:tc>
        <w:tc>
          <w:tcPr>
            <w:tcW w:w="2426" w:type="dxa"/>
          </w:tcPr>
          <w:p w14:paraId="025505A0" w14:textId="28086B51" w:rsidR="00BF4B0F" w:rsidRDefault="00BF4B0F" w:rsidP="002C204C">
            <w:r>
              <w:t>Recommended maintaining GEGC as the body certifying GE classes.</w:t>
            </w:r>
          </w:p>
        </w:tc>
        <w:tc>
          <w:tcPr>
            <w:tcW w:w="3495" w:type="dxa"/>
          </w:tcPr>
          <w:p w14:paraId="63C8626B" w14:textId="38FACDE1" w:rsidR="00BF4B0F" w:rsidRDefault="00BF4B0F" w:rsidP="002C204C">
            <w:r>
              <w:rPr>
                <w:rFonts w:ascii="Calibri" w:eastAsia="Calibri" w:hAnsi="Calibri" w:cs="Calibri"/>
              </w:rPr>
              <w:t xml:space="preserve">Recommends </w:t>
            </w:r>
            <w:r w:rsidRPr="00E95BF4">
              <w:rPr>
                <w:rFonts w:ascii="Calibri" w:eastAsia="Calibri" w:hAnsi="Calibri" w:cs="Calibri"/>
              </w:rPr>
              <w:t xml:space="preserve">GE approval </w:t>
            </w:r>
            <w:r>
              <w:rPr>
                <w:rFonts w:ascii="Calibri" w:eastAsia="Calibri" w:hAnsi="Calibri" w:cs="Calibri"/>
              </w:rPr>
              <w:t xml:space="preserve">move </w:t>
            </w:r>
            <w:r w:rsidRPr="00E95BF4">
              <w:rPr>
                <w:rFonts w:ascii="Calibri" w:eastAsia="Calibri" w:hAnsi="Calibri" w:cs="Calibri"/>
              </w:rPr>
              <w:t xml:space="preserve">to Department/college level. Have open period for other department/colleges to challenge. Challenge periods must be at least 2 months.  If challenged from another curriculum committee or Dean/AD, then the course goes to </w:t>
            </w:r>
            <w:r>
              <w:rPr>
                <w:rFonts w:ascii="Calibri" w:eastAsia="Calibri" w:hAnsi="Calibri" w:cs="Calibri"/>
              </w:rPr>
              <w:t>GEGC for further consideration.</w:t>
            </w:r>
          </w:p>
        </w:tc>
        <w:tc>
          <w:tcPr>
            <w:tcW w:w="2610" w:type="dxa"/>
          </w:tcPr>
          <w:p w14:paraId="3BAC7182" w14:textId="0C43C8C6" w:rsidR="00BF4B0F" w:rsidRPr="00BC00A8" w:rsidRDefault="00BF4B0F" w:rsidP="00FE1FE9">
            <w:pPr>
              <w:rPr>
                <w:i/>
              </w:rPr>
            </w:pPr>
            <w:r w:rsidRPr="00BC00A8">
              <w:rPr>
                <w:i/>
              </w:rPr>
              <w:t>Did not address</w:t>
            </w:r>
            <w:r w:rsidR="00B05122">
              <w:rPr>
                <w:i/>
              </w:rPr>
              <w:t>.</w:t>
            </w:r>
          </w:p>
        </w:tc>
        <w:tc>
          <w:tcPr>
            <w:tcW w:w="3240" w:type="dxa"/>
          </w:tcPr>
          <w:p w14:paraId="0CAC2F7B" w14:textId="1B0497EC" w:rsidR="00BF4B0F" w:rsidRPr="005550DC" w:rsidRDefault="005550DC" w:rsidP="00FE1FE9">
            <w:r w:rsidRPr="00A00BB4">
              <w:t xml:space="preserve">Voted </w:t>
            </w:r>
            <w:r w:rsidR="0066351F" w:rsidRPr="00A00BB4">
              <w:t>15 to 4</w:t>
            </w:r>
            <w:r w:rsidRPr="00A00BB4">
              <w:t xml:space="preserve"> to support the </w:t>
            </w:r>
            <w:r>
              <w:t>summer ad-hoc committee’s recommendation of maintaining GEGC as the body certifying GE classes.</w:t>
            </w:r>
            <w:r w:rsidR="005C0C9F">
              <w:t xml:space="preserve">  </w:t>
            </w:r>
            <w:r w:rsidR="005C0C9F">
              <w:t>CEPC did, however, request that the standards being used by GEGC to do so be clearer to faculty submitting the classes.</w:t>
            </w:r>
          </w:p>
        </w:tc>
      </w:tr>
      <w:tr w:rsidR="00BF4B0F" w14:paraId="4E90F53E" w14:textId="44A6365C" w:rsidTr="00456AB3">
        <w:tc>
          <w:tcPr>
            <w:tcW w:w="1094" w:type="dxa"/>
            <w:shd w:val="clear" w:color="auto" w:fill="BFBFBF" w:themeFill="background1" w:themeFillShade="BF"/>
          </w:tcPr>
          <w:p w14:paraId="7D0D9FF4" w14:textId="7C2CB627" w:rsidR="00BF4B0F" w:rsidRDefault="00890B63">
            <w:pPr>
              <w:rPr>
                <w:b/>
              </w:rPr>
            </w:pPr>
            <w:r>
              <w:rPr>
                <w:b/>
              </w:rPr>
              <w:t>8.0-9.7</w:t>
            </w:r>
          </w:p>
          <w:p w14:paraId="5696D0F9" w14:textId="034BC049" w:rsidR="002041FE" w:rsidRPr="00902142" w:rsidRDefault="001D0BAD">
            <w:pPr>
              <w:rPr>
                <w:b/>
              </w:rPr>
            </w:pPr>
            <w:r>
              <w:rPr>
                <w:b/>
              </w:rPr>
              <w:t>(Line</w:t>
            </w:r>
            <w:r w:rsidR="00966DD5">
              <w:rPr>
                <w:b/>
              </w:rPr>
              <w:t>s</w:t>
            </w:r>
            <w:r>
              <w:rPr>
                <w:b/>
              </w:rPr>
              <w:t xml:space="preserve"> </w:t>
            </w:r>
            <w:r w:rsidR="00280A3D">
              <w:rPr>
                <w:b/>
              </w:rPr>
              <w:t>576</w:t>
            </w:r>
            <w:r w:rsidR="00890B63">
              <w:rPr>
                <w:b/>
              </w:rPr>
              <w:t>-</w:t>
            </w:r>
            <w:r w:rsidR="00697F3E">
              <w:rPr>
                <w:b/>
              </w:rPr>
              <w:t>641</w:t>
            </w:r>
            <w:r>
              <w:rPr>
                <w:b/>
              </w:rPr>
              <w:t>)</w:t>
            </w:r>
          </w:p>
        </w:tc>
        <w:tc>
          <w:tcPr>
            <w:tcW w:w="2426" w:type="dxa"/>
          </w:tcPr>
          <w:p w14:paraId="3DC7896C" w14:textId="4AB550EB" w:rsidR="00BF4B0F" w:rsidRDefault="00A411CC" w:rsidP="002C204C">
            <w:r>
              <w:t>Recommended creating a new committee, the General Education Evaluation Committee, in charge of the evaluation of previously-certified General Education classes</w:t>
            </w:r>
            <w:r w:rsidR="00B05122">
              <w:t>.</w:t>
            </w:r>
            <w:r>
              <w:t xml:space="preserve"> </w:t>
            </w:r>
          </w:p>
        </w:tc>
        <w:tc>
          <w:tcPr>
            <w:tcW w:w="3495" w:type="dxa"/>
          </w:tcPr>
          <w:p w14:paraId="26DDECE6" w14:textId="7C9789F9" w:rsidR="00BF4B0F" w:rsidRDefault="00610323" w:rsidP="002C204C">
            <w:r>
              <w:t>Recommended maintaining the duties of evaluating previously-certified General Education classes under PARC</w:t>
            </w:r>
          </w:p>
        </w:tc>
        <w:tc>
          <w:tcPr>
            <w:tcW w:w="2610" w:type="dxa"/>
          </w:tcPr>
          <w:p w14:paraId="3AD39CA2" w14:textId="28EE29C1" w:rsidR="00BF4B0F" w:rsidRPr="00610323" w:rsidRDefault="00610323" w:rsidP="002C204C">
            <w:pPr>
              <w:rPr>
                <w:i/>
              </w:rPr>
            </w:pPr>
            <w:r>
              <w:rPr>
                <w:i/>
              </w:rPr>
              <w:t>Did not address</w:t>
            </w:r>
            <w:r w:rsidR="00B05122">
              <w:rPr>
                <w:i/>
              </w:rPr>
              <w:t>.</w:t>
            </w:r>
          </w:p>
        </w:tc>
        <w:tc>
          <w:tcPr>
            <w:tcW w:w="3240" w:type="dxa"/>
          </w:tcPr>
          <w:p w14:paraId="3780357F" w14:textId="37ED4246" w:rsidR="00BF4B0F" w:rsidRPr="00ED5391" w:rsidRDefault="00DA0704" w:rsidP="002C204C">
            <w:r w:rsidRPr="001E318B">
              <w:t xml:space="preserve">Voted </w:t>
            </w:r>
            <w:r w:rsidR="00ED5391" w:rsidRPr="001E318B">
              <w:t xml:space="preserve">16 </w:t>
            </w:r>
            <w:r w:rsidRPr="001E318B">
              <w:t xml:space="preserve">to </w:t>
            </w:r>
            <w:r w:rsidR="00ED5391" w:rsidRPr="001E318B">
              <w:t>3 (with 3 abstentions)</w:t>
            </w:r>
            <w:r w:rsidRPr="001E318B">
              <w:t xml:space="preserve"> to support </w:t>
            </w:r>
            <w:r w:rsidR="00C05DD3" w:rsidRPr="001E318B">
              <w:t xml:space="preserve">the summer ad-hoc committee’s recommendation </w:t>
            </w:r>
            <w:r w:rsidR="00E504C1" w:rsidRPr="001E318B">
              <w:t>to create a new General Education Evaluation Committee, in charge of the evaluation of previously-certified General Education classes</w:t>
            </w:r>
            <w:r w:rsidR="000047FF">
              <w:t xml:space="preserve">, </w:t>
            </w:r>
            <w:r w:rsidR="00B61037">
              <w:t>understanding that (1) assessment of previously-certified GE courses on campus has been problematic, and (2) this would be too much for one single GE committee, such as GEGC, to handle on top of its current duties.</w:t>
            </w:r>
          </w:p>
        </w:tc>
      </w:tr>
    </w:tbl>
    <w:p w14:paraId="6DD7F360" w14:textId="77777777" w:rsidR="0055345D" w:rsidRDefault="0055345D" w:rsidP="00456AB3"/>
    <w:sectPr w:rsidR="0055345D" w:rsidSect="00E179A6">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B8F13" w14:textId="77777777" w:rsidR="00CE76C1" w:rsidRDefault="00CE76C1" w:rsidP="003A4653">
      <w:pPr>
        <w:spacing w:after="0" w:line="240" w:lineRule="auto"/>
      </w:pPr>
      <w:r>
        <w:separator/>
      </w:r>
    </w:p>
  </w:endnote>
  <w:endnote w:type="continuationSeparator" w:id="0">
    <w:p w14:paraId="39F6D826" w14:textId="77777777" w:rsidR="00CE76C1" w:rsidRDefault="00CE76C1" w:rsidP="003A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FF853" w14:textId="77777777" w:rsidR="00CE76C1" w:rsidRDefault="00CE76C1" w:rsidP="003A4653">
      <w:pPr>
        <w:spacing w:after="0" w:line="240" w:lineRule="auto"/>
      </w:pPr>
      <w:r>
        <w:separator/>
      </w:r>
    </w:p>
  </w:footnote>
  <w:footnote w:type="continuationSeparator" w:id="0">
    <w:p w14:paraId="146E2316" w14:textId="77777777" w:rsidR="00CE76C1" w:rsidRDefault="00CE76C1" w:rsidP="003A4653">
      <w:pPr>
        <w:spacing w:after="0" w:line="240" w:lineRule="auto"/>
      </w:pPr>
      <w:r>
        <w:continuationSeparator/>
      </w:r>
    </w:p>
  </w:footnote>
  <w:footnote w:id="1">
    <w:p w14:paraId="379E199A" w14:textId="6723AE0A" w:rsidR="00BD00F0" w:rsidRPr="00DD1CF7" w:rsidRDefault="00BD00F0">
      <w:pPr>
        <w:pStyle w:val="FootnoteText"/>
        <w:rPr>
          <w:i/>
        </w:rPr>
      </w:pPr>
      <w:r w:rsidRPr="00DD1CF7">
        <w:rPr>
          <w:rStyle w:val="FootnoteReference"/>
          <w:i/>
        </w:rPr>
        <w:footnoteRef/>
      </w:r>
      <w:r w:rsidRPr="00DD1CF7">
        <w:rPr>
          <w:i/>
        </w:rPr>
        <w:t xml:space="preserve"> Lines relate to document “</w:t>
      </w:r>
      <w:r w:rsidR="00D55411" w:rsidRPr="00DD1CF7">
        <w:rPr>
          <w:i/>
        </w:rPr>
        <w:t>GE Policy - TRACK CHANGES from CEPC based on College Committee Draft</w:t>
      </w:r>
      <w:r w:rsidRPr="00DD1CF7">
        <w:rPr>
          <w:i/>
        </w:rPr>
        <w:t>”</w:t>
      </w:r>
      <w:r w:rsidR="00522240" w:rsidRPr="00DD1CF7">
        <w:rPr>
          <w:i/>
        </w:rPr>
        <w:t xml:space="preserve"> document</w:t>
      </w:r>
      <w:r w:rsidR="00D55411" w:rsidRPr="00DD1CF7">
        <w:rPr>
          <w:i/>
        </w:rPr>
        <w:t>,</w:t>
      </w:r>
      <w:r w:rsidR="00522240" w:rsidRPr="00DD1CF7">
        <w:rPr>
          <w:i/>
        </w:rPr>
        <w:t xml:space="preserve"> also submitted by CEPC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B00A5" w14:textId="5330AF61" w:rsidR="006110B0" w:rsidRPr="003454AE" w:rsidRDefault="003454AE">
    <w:pPr>
      <w:pStyle w:val="Header"/>
      <w:rPr>
        <w:sz w:val="24"/>
      </w:rPr>
    </w:pPr>
    <w:r w:rsidRPr="003454AE">
      <w:rPr>
        <w:sz w:val="24"/>
      </w:rPr>
      <w:t xml:space="preserve">Comparison of main recommendations from Summer ad-hoc committee, Fall </w:t>
    </w:r>
    <w:r w:rsidR="00064591">
      <w:rPr>
        <w:sz w:val="24"/>
      </w:rPr>
      <w:t>(</w:t>
    </w:r>
    <w:r w:rsidRPr="003454AE">
      <w:rPr>
        <w:sz w:val="24"/>
      </w:rPr>
      <w:t>college</w:t>
    </w:r>
    <w:r w:rsidR="00064591">
      <w:rPr>
        <w:sz w:val="24"/>
      </w:rPr>
      <w:t>)</w:t>
    </w:r>
    <w:r w:rsidRPr="003454AE">
      <w:rPr>
        <w:sz w:val="24"/>
      </w:rPr>
      <w:t xml:space="preserve"> ad-hoc committee, GEGC and CEPC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A6"/>
    <w:rsid w:val="000047FF"/>
    <w:rsid w:val="000102C1"/>
    <w:rsid w:val="00012857"/>
    <w:rsid w:val="0003019C"/>
    <w:rsid w:val="00057FF3"/>
    <w:rsid w:val="00064591"/>
    <w:rsid w:val="00070AD9"/>
    <w:rsid w:val="00075131"/>
    <w:rsid w:val="000818FE"/>
    <w:rsid w:val="00095D42"/>
    <w:rsid w:val="000A0B2E"/>
    <w:rsid w:val="000A6533"/>
    <w:rsid w:val="000B2431"/>
    <w:rsid w:val="000D405A"/>
    <w:rsid w:val="000D6A2D"/>
    <w:rsid w:val="000E0FAC"/>
    <w:rsid w:val="000F0132"/>
    <w:rsid w:val="000F1B97"/>
    <w:rsid w:val="000F60CA"/>
    <w:rsid w:val="001149E7"/>
    <w:rsid w:val="00143A37"/>
    <w:rsid w:val="001533C7"/>
    <w:rsid w:val="00174A12"/>
    <w:rsid w:val="0018241C"/>
    <w:rsid w:val="001A6DF7"/>
    <w:rsid w:val="001D0BAD"/>
    <w:rsid w:val="001E318B"/>
    <w:rsid w:val="001F5DC4"/>
    <w:rsid w:val="002009DA"/>
    <w:rsid w:val="002041FE"/>
    <w:rsid w:val="00222C40"/>
    <w:rsid w:val="002268EC"/>
    <w:rsid w:val="00227E6F"/>
    <w:rsid w:val="00231408"/>
    <w:rsid w:val="00246571"/>
    <w:rsid w:val="00262BB3"/>
    <w:rsid w:val="002736BF"/>
    <w:rsid w:val="00280A3D"/>
    <w:rsid w:val="00290646"/>
    <w:rsid w:val="002A42C8"/>
    <w:rsid w:val="002C204C"/>
    <w:rsid w:val="002C7ECA"/>
    <w:rsid w:val="002C7ECB"/>
    <w:rsid w:val="002E1ABB"/>
    <w:rsid w:val="00307F2F"/>
    <w:rsid w:val="00314F0E"/>
    <w:rsid w:val="0032508B"/>
    <w:rsid w:val="003326F6"/>
    <w:rsid w:val="003454AE"/>
    <w:rsid w:val="0036292E"/>
    <w:rsid w:val="00372928"/>
    <w:rsid w:val="003807EA"/>
    <w:rsid w:val="003A2FBD"/>
    <w:rsid w:val="003A4653"/>
    <w:rsid w:val="003B69E8"/>
    <w:rsid w:val="003C3B82"/>
    <w:rsid w:val="00403F1D"/>
    <w:rsid w:val="0045186C"/>
    <w:rsid w:val="00456AB3"/>
    <w:rsid w:val="00467DD7"/>
    <w:rsid w:val="0048471E"/>
    <w:rsid w:val="00485DEB"/>
    <w:rsid w:val="00487AD5"/>
    <w:rsid w:val="004A09DA"/>
    <w:rsid w:val="004A4CB7"/>
    <w:rsid w:val="004B0921"/>
    <w:rsid w:val="004B779D"/>
    <w:rsid w:val="004D36E4"/>
    <w:rsid w:val="004D406D"/>
    <w:rsid w:val="004E6E3C"/>
    <w:rsid w:val="0050125D"/>
    <w:rsid w:val="00522240"/>
    <w:rsid w:val="00542E5E"/>
    <w:rsid w:val="00547DB2"/>
    <w:rsid w:val="0055345D"/>
    <w:rsid w:val="005550DC"/>
    <w:rsid w:val="00557453"/>
    <w:rsid w:val="00574412"/>
    <w:rsid w:val="005B38BD"/>
    <w:rsid w:val="005B4C2F"/>
    <w:rsid w:val="005C0C9F"/>
    <w:rsid w:val="005C3A07"/>
    <w:rsid w:val="005C5234"/>
    <w:rsid w:val="005D5F21"/>
    <w:rsid w:val="005E679A"/>
    <w:rsid w:val="005F4470"/>
    <w:rsid w:val="00610323"/>
    <w:rsid w:val="006110B0"/>
    <w:rsid w:val="00613393"/>
    <w:rsid w:val="0063087D"/>
    <w:rsid w:val="00633EE5"/>
    <w:rsid w:val="006359EE"/>
    <w:rsid w:val="00655681"/>
    <w:rsid w:val="0066351F"/>
    <w:rsid w:val="00674194"/>
    <w:rsid w:val="00674C4B"/>
    <w:rsid w:val="00697F3E"/>
    <w:rsid w:val="006A1CA3"/>
    <w:rsid w:val="006E0240"/>
    <w:rsid w:val="006F1B81"/>
    <w:rsid w:val="00730CB0"/>
    <w:rsid w:val="00735FCF"/>
    <w:rsid w:val="00740F42"/>
    <w:rsid w:val="007630CF"/>
    <w:rsid w:val="007779E5"/>
    <w:rsid w:val="007A78E2"/>
    <w:rsid w:val="007B017B"/>
    <w:rsid w:val="007B2F96"/>
    <w:rsid w:val="0080387E"/>
    <w:rsid w:val="00810DF9"/>
    <w:rsid w:val="00812519"/>
    <w:rsid w:val="00816A2C"/>
    <w:rsid w:val="008340DE"/>
    <w:rsid w:val="0084067C"/>
    <w:rsid w:val="00840DAF"/>
    <w:rsid w:val="00853E62"/>
    <w:rsid w:val="0086486B"/>
    <w:rsid w:val="00867144"/>
    <w:rsid w:val="00867C89"/>
    <w:rsid w:val="0088777E"/>
    <w:rsid w:val="00890B63"/>
    <w:rsid w:val="008B05EC"/>
    <w:rsid w:val="008D2BB4"/>
    <w:rsid w:val="008D5317"/>
    <w:rsid w:val="008E503A"/>
    <w:rsid w:val="00902142"/>
    <w:rsid w:val="00913D49"/>
    <w:rsid w:val="009168F6"/>
    <w:rsid w:val="009275EB"/>
    <w:rsid w:val="00932615"/>
    <w:rsid w:val="009352A5"/>
    <w:rsid w:val="00942FB8"/>
    <w:rsid w:val="0094639F"/>
    <w:rsid w:val="009478AA"/>
    <w:rsid w:val="009571E7"/>
    <w:rsid w:val="0096059B"/>
    <w:rsid w:val="00966DD5"/>
    <w:rsid w:val="009B2825"/>
    <w:rsid w:val="009C4C13"/>
    <w:rsid w:val="009D340F"/>
    <w:rsid w:val="009F5BF1"/>
    <w:rsid w:val="00A00662"/>
    <w:rsid w:val="00A00BB4"/>
    <w:rsid w:val="00A24BE6"/>
    <w:rsid w:val="00A371C4"/>
    <w:rsid w:val="00A411CC"/>
    <w:rsid w:val="00A413ED"/>
    <w:rsid w:val="00A47A10"/>
    <w:rsid w:val="00A52B1D"/>
    <w:rsid w:val="00A60531"/>
    <w:rsid w:val="00A617B3"/>
    <w:rsid w:val="00AB7BFA"/>
    <w:rsid w:val="00AC2140"/>
    <w:rsid w:val="00AE60FB"/>
    <w:rsid w:val="00AF0E28"/>
    <w:rsid w:val="00AF2B89"/>
    <w:rsid w:val="00B05122"/>
    <w:rsid w:val="00B1577E"/>
    <w:rsid w:val="00B40612"/>
    <w:rsid w:val="00B41E44"/>
    <w:rsid w:val="00B43D31"/>
    <w:rsid w:val="00B538CF"/>
    <w:rsid w:val="00B5412A"/>
    <w:rsid w:val="00B61037"/>
    <w:rsid w:val="00B7385A"/>
    <w:rsid w:val="00B85A49"/>
    <w:rsid w:val="00B878D0"/>
    <w:rsid w:val="00BA0BCA"/>
    <w:rsid w:val="00BC00A8"/>
    <w:rsid w:val="00BC1263"/>
    <w:rsid w:val="00BD00F0"/>
    <w:rsid w:val="00BE2920"/>
    <w:rsid w:val="00BE5413"/>
    <w:rsid w:val="00BF4B0F"/>
    <w:rsid w:val="00C05DD3"/>
    <w:rsid w:val="00C12479"/>
    <w:rsid w:val="00C1386D"/>
    <w:rsid w:val="00C16677"/>
    <w:rsid w:val="00C166C6"/>
    <w:rsid w:val="00C344CA"/>
    <w:rsid w:val="00C467CC"/>
    <w:rsid w:val="00C60067"/>
    <w:rsid w:val="00C62C14"/>
    <w:rsid w:val="00C669C0"/>
    <w:rsid w:val="00C8179F"/>
    <w:rsid w:val="00C86824"/>
    <w:rsid w:val="00CA1A83"/>
    <w:rsid w:val="00CB7B26"/>
    <w:rsid w:val="00CC0954"/>
    <w:rsid w:val="00CD0793"/>
    <w:rsid w:val="00CE5EB1"/>
    <w:rsid w:val="00CE76C1"/>
    <w:rsid w:val="00CF4DCD"/>
    <w:rsid w:val="00D171F9"/>
    <w:rsid w:val="00D20D58"/>
    <w:rsid w:val="00D243A2"/>
    <w:rsid w:val="00D34EC0"/>
    <w:rsid w:val="00D37019"/>
    <w:rsid w:val="00D55411"/>
    <w:rsid w:val="00DA0704"/>
    <w:rsid w:val="00DC2354"/>
    <w:rsid w:val="00DC75EF"/>
    <w:rsid w:val="00DD1CF7"/>
    <w:rsid w:val="00DD22D7"/>
    <w:rsid w:val="00DE41AF"/>
    <w:rsid w:val="00E02800"/>
    <w:rsid w:val="00E16162"/>
    <w:rsid w:val="00E179A6"/>
    <w:rsid w:val="00E27682"/>
    <w:rsid w:val="00E3272F"/>
    <w:rsid w:val="00E504C1"/>
    <w:rsid w:val="00E608E9"/>
    <w:rsid w:val="00E7546E"/>
    <w:rsid w:val="00E95BF4"/>
    <w:rsid w:val="00ED5391"/>
    <w:rsid w:val="00ED64C4"/>
    <w:rsid w:val="00F00A32"/>
    <w:rsid w:val="00F064C8"/>
    <w:rsid w:val="00F17344"/>
    <w:rsid w:val="00F212D8"/>
    <w:rsid w:val="00F54BD6"/>
    <w:rsid w:val="00F81755"/>
    <w:rsid w:val="00FA1797"/>
    <w:rsid w:val="00FE0A81"/>
    <w:rsid w:val="00FE12E0"/>
    <w:rsid w:val="00FE1F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7687"/>
  <w15:chartTrackingRefBased/>
  <w15:docId w15:val="{55ED5D37-D2BF-4D18-8DB4-EBD3AB29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46E"/>
    <w:rPr>
      <w:rFonts w:ascii="Segoe UI" w:hAnsi="Segoe UI" w:cs="Segoe UI"/>
      <w:sz w:val="18"/>
      <w:szCs w:val="18"/>
    </w:rPr>
  </w:style>
  <w:style w:type="paragraph" w:styleId="NormalWeb">
    <w:name w:val="Normal (Web)"/>
    <w:basedOn w:val="Normal"/>
    <w:uiPriority w:val="99"/>
    <w:semiHidden/>
    <w:unhideWhenUsed/>
    <w:rsid w:val="00E7546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7546E"/>
    <w:rPr>
      <w:sz w:val="16"/>
      <w:szCs w:val="16"/>
    </w:rPr>
  </w:style>
  <w:style w:type="paragraph" w:styleId="CommentText">
    <w:name w:val="annotation text"/>
    <w:basedOn w:val="Normal"/>
    <w:link w:val="CommentTextChar"/>
    <w:uiPriority w:val="99"/>
    <w:semiHidden/>
    <w:unhideWhenUsed/>
    <w:rsid w:val="00E7546E"/>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E7546E"/>
    <w:rPr>
      <w:rFonts w:ascii="Calibri" w:eastAsia="Calibri" w:hAnsi="Calibri" w:cs="Calibri"/>
      <w:sz w:val="20"/>
      <w:szCs w:val="20"/>
    </w:rPr>
  </w:style>
  <w:style w:type="character" w:styleId="Hyperlink">
    <w:name w:val="Hyperlink"/>
    <w:basedOn w:val="DefaultParagraphFont"/>
    <w:uiPriority w:val="99"/>
    <w:unhideWhenUsed/>
    <w:rsid w:val="00C16677"/>
    <w:rPr>
      <w:color w:val="0563C1" w:themeColor="hyperlink"/>
      <w:u w:val="single"/>
    </w:rPr>
  </w:style>
  <w:style w:type="paragraph" w:customStyle="1" w:styleId="paragraph">
    <w:name w:val="paragraph"/>
    <w:basedOn w:val="Normal"/>
    <w:rsid w:val="00F54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F54BD6"/>
  </w:style>
  <w:style w:type="character" w:customStyle="1" w:styleId="normaltextrun">
    <w:name w:val="normaltextrun"/>
    <w:basedOn w:val="DefaultParagraphFont"/>
    <w:rsid w:val="00F54BD6"/>
  </w:style>
  <w:style w:type="character" w:customStyle="1" w:styleId="eop">
    <w:name w:val="eop"/>
    <w:basedOn w:val="DefaultParagraphFont"/>
    <w:rsid w:val="00F54BD6"/>
  </w:style>
  <w:style w:type="paragraph" w:styleId="Header">
    <w:name w:val="header"/>
    <w:basedOn w:val="Normal"/>
    <w:link w:val="HeaderChar"/>
    <w:uiPriority w:val="99"/>
    <w:unhideWhenUsed/>
    <w:rsid w:val="003A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53"/>
  </w:style>
  <w:style w:type="paragraph" w:styleId="Footer">
    <w:name w:val="footer"/>
    <w:basedOn w:val="Normal"/>
    <w:link w:val="FooterChar"/>
    <w:uiPriority w:val="99"/>
    <w:unhideWhenUsed/>
    <w:rsid w:val="003A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53"/>
  </w:style>
  <w:style w:type="paragraph" w:styleId="ListParagraph">
    <w:name w:val="List Paragraph"/>
    <w:basedOn w:val="Normal"/>
    <w:uiPriority w:val="34"/>
    <w:qFormat/>
    <w:rsid w:val="0048471E"/>
    <w:pPr>
      <w:ind w:left="720"/>
      <w:contextualSpacing/>
    </w:pPr>
  </w:style>
  <w:style w:type="paragraph" w:styleId="FootnoteText">
    <w:name w:val="footnote text"/>
    <w:basedOn w:val="Normal"/>
    <w:link w:val="FootnoteTextChar"/>
    <w:uiPriority w:val="99"/>
    <w:semiHidden/>
    <w:unhideWhenUsed/>
    <w:rsid w:val="00BD00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0F0"/>
    <w:rPr>
      <w:sz w:val="20"/>
      <w:szCs w:val="20"/>
    </w:rPr>
  </w:style>
  <w:style w:type="character" w:styleId="FootnoteReference">
    <w:name w:val="footnote reference"/>
    <w:basedOn w:val="DefaultParagraphFont"/>
    <w:uiPriority w:val="99"/>
    <w:semiHidden/>
    <w:unhideWhenUsed/>
    <w:rsid w:val="00BD00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036465">
      <w:bodyDiv w:val="1"/>
      <w:marLeft w:val="0"/>
      <w:marRight w:val="0"/>
      <w:marTop w:val="0"/>
      <w:marBottom w:val="0"/>
      <w:divBdr>
        <w:top w:val="none" w:sz="0" w:space="0" w:color="auto"/>
        <w:left w:val="none" w:sz="0" w:space="0" w:color="auto"/>
        <w:bottom w:val="none" w:sz="0" w:space="0" w:color="auto"/>
        <w:right w:val="none" w:sz="0" w:space="0" w:color="auto"/>
      </w:divBdr>
      <w:divsChild>
        <w:div w:id="946884299">
          <w:marLeft w:val="0"/>
          <w:marRight w:val="0"/>
          <w:marTop w:val="0"/>
          <w:marBottom w:val="0"/>
          <w:divBdr>
            <w:top w:val="none" w:sz="0" w:space="0" w:color="auto"/>
            <w:left w:val="none" w:sz="0" w:space="0" w:color="auto"/>
            <w:bottom w:val="none" w:sz="0" w:space="0" w:color="auto"/>
            <w:right w:val="none" w:sz="0" w:space="0" w:color="auto"/>
          </w:divBdr>
        </w:div>
        <w:div w:id="1788352053">
          <w:marLeft w:val="0"/>
          <w:marRight w:val="0"/>
          <w:marTop w:val="0"/>
          <w:marBottom w:val="0"/>
          <w:divBdr>
            <w:top w:val="none" w:sz="0" w:space="0" w:color="auto"/>
            <w:left w:val="none" w:sz="0" w:space="0" w:color="auto"/>
            <w:bottom w:val="none" w:sz="0" w:space="0" w:color="auto"/>
            <w:right w:val="none" w:sz="0" w:space="0" w:color="auto"/>
          </w:divBdr>
        </w:div>
      </w:divsChild>
    </w:div>
    <w:div w:id="2038702684">
      <w:bodyDiv w:val="1"/>
      <w:marLeft w:val="0"/>
      <w:marRight w:val="0"/>
      <w:marTop w:val="0"/>
      <w:marBottom w:val="0"/>
      <w:divBdr>
        <w:top w:val="none" w:sz="0" w:space="0" w:color="auto"/>
        <w:left w:val="none" w:sz="0" w:space="0" w:color="auto"/>
        <w:bottom w:val="none" w:sz="0" w:space="0" w:color="auto"/>
        <w:right w:val="none" w:sz="0" w:space="0" w:color="auto"/>
      </w:divBdr>
      <w:divsChild>
        <w:div w:id="30423975">
          <w:marLeft w:val="0"/>
          <w:marRight w:val="0"/>
          <w:marTop w:val="0"/>
          <w:marBottom w:val="0"/>
          <w:divBdr>
            <w:top w:val="none" w:sz="0" w:space="0" w:color="auto"/>
            <w:left w:val="none" w:sz="0" w:space="0" w:color="auto"/>
            <w:bottom w:val="none" w:sz="0" w:space="0" w:color="auto"/>
            <w:right w:val="none" w:sz="0" w:space="0" w:color="auto"/>
          </w:divBdr>
        </w:div>
        <w:div w:id="553657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Cormack</dc:creator>
  <cp:keywords/>
  <dc:description/>
  <cp:lastModifiedBy>Microsoft Office User</cp:lastModifiedBy>
  <cp:revision>199</cp:revision>
  <dcterms:created xsi:type="dcterms:W3CDTF">2018-10-20T00:03:00Z</dcterms:created>
  <dcterms:modified xsi:type="dcterms:W3CDTF">2018-12-22T00:22:00Z</dcterms:modified>
</cp:coreProperties>
</file>