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D96B6AC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E59C926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4938B8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70FE16C8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4938B8">
        <w:rPr>
          <w:rFonts w:cs="Tahoma"/>
          <w:szCs w:val="24"/>
        </w:rPr>
        <w:t>10 February</w:t>
      </w:r>
      <w:r w:rsidR="005707F6">
        <w:rPr>
          <w:rFonts w:cs="Tahoma"/>
          <w:szCs w:val="24"/>
        </w:rPr>
        <w:t>,</w:t>
      </w:r>
      <w:r w:rsidR="004938B8">
        <w:rPr>
          <w:rFonts w:cs="Tahoma"/>
          <w:szCs w:val="24"/>
        </w:rPr>
        <w:t xml:space="preserve"> 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0E9D459F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4938B8">
        <w:rPr>
          <w:rFonts w:cs="Tahoma"/>
          <w:szCs w:val="24"/>
        </w:rPr>
        <w:t>December</w:t>
      </w:r>
      <w:r w:rsidR="008770DE">
        <w:rPr>
          <w:rFonts w:cs="Tahoma"/>
          <w:szCs w:val="24"/>
        </w:rPr>
        <w:t xml:space="preserve"> 9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2370C48E" w14:textId="2866F1E6" w:rsidR="00452A23" w:rsidRPr="001E7CC0" w:rsidRDefault="004938B8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Second reading: p</w:t>
      </w:r>
      <w:r w:rsidR="00452A23">
        <w:rPr>
          <w:szCs w:val="24"/>
        </w:rPr>
        <w:t xml:space="preserve">roposed Minor in Korean Language and Culture in the Department of Asian Studies (Professor </w:t>
      </w:r>
      <w:r>
        <w:rPr>
          <w:szCs w:val="24"/>
        </w:rPr>
        <w:t>Teri Yamada</w:t>
      </w:r>
      <w:r w:rsidR="00452A23">
        <w:rPr>
          <w:szCs w:val="24"/>
        </w:rPr>
        <w:t>, Department of Asian and Asian American Studies)</w:t>
      </w:r>
    </w:p>
    <w:p w14:paraId="41B3AFE1" w14:textId="61CD9F59" w:rsidR="00452A23" w:rsidRPr="001E7CC0" w:rsidRDefault="004938B8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Second reading: p</w:t>
      </w:r>
      <w:r w:rsidR="00452A23">
        <w:rPr>
          <w:szCs w:val="24"/>
        </w:rPr>
        <w:t xml:space="preserve">roposed course, UNIV 150: </w:t>
      </w:r>
      <w:r>
        <w:rPr>
          <w:szCs w:val="24"/>
        </w:rPr>
        <w:t xml:space="preserve">Research </w:t>
      </w:r>
      <w:r w:rsidR="00452A23">
        <w:rPr>
          <w:szCs w:val="24"/>
        </w:rPr>
        <w:t xml:space="preserve">Career Exploration, via the College of Natural Sciences and Mathematics (Professor Paul Buonora, Department of Chemistry &amp; Biochemistry and Research Enrichment Core Director, CSULB </w:t>
      </w:r>
      <w:r>
        <w:rPr>
          <w:szCs w:val="24"/>
        </w:rPr>
        <w:t>BUILD Program</w:t>
      </w:r>
      <w:r w:rsidR="00452A23">
        <w:rPr>
          <w:szCs w:val="24"/>
        </w:rPr>
        <w:t>)</w:t>
      </w:r>
    </w:p>
    <w:p w14:paraId="3729911B" w14:textId="09EAA394" w:rsidR="00452A23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Minor</w:t>
      </w:r>
      <w:r w:rsidRPr="000C5994">
        <w:rPr>
          <w:rFonts w:cs="Tahoma"/>
          <w:szCs w:val="24"/>
        </w:rPr>
        <w:t xml:space="preserve"> in </w:t>
      </w:r>
      <w:r w:rsidR="004938B8">
        <w:rPr>
          <w:rFonts w:cs="Tahoma"/>
          <w:szCs w:val="24"/>
        </w:rPr>
        <w:t>Gerontology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 of </w:t>
      </w:r>
      <w:r w:rsidR="00B72601">
        <w:rPr>
          <w:rFonts w:cs="Tahoma"/>
          <w:szCs w:val="24"/>
        </w:rPr>
        <w:t>Family and Consumer Sciences</w:t>
      </w:r>
      <w:r w:rsidRPr="000C5994">
        <w:rPr>
          <w:rFonts w:cs="Tahoma"/>
          <w:szCs w:val="24"/>
        </w:rPr>
        <w:t xml:space="preserve"> (</w:t>
      </w:r>
      <w:r w:rsidR="00E7537E">
        <w:rPr>
          <w:rFonts w:cs="Tahoma"/>
          <w:szCs w:val="24"/>
        </w:rPr>
        <w:t xml:space="preserve">Professor </w:t>
      </w:r>
      <w:r w:rsidR="00B72601">
        <w:rPr>
          <w:rFonts w:cs="Tahoma"/>
          <w:szCs w:val="24"/>
        </w:rPr>
        <w:t>Maria Claver</w:t>
      </w:r>
      <w:r w:rsidR="00E7537E">
        <w:rPr>
          <w:rFonts w:cs="Tahoma"/>
          <w:szCs w:val="24"/>
        </w:rPr>
        <w:t xml:space="preserve">, </w:t>
      </w:r>
      <w:r w:rsidR="00B72601">
        <w:rPr>
          <w:rFonts w:cs="Tahoma"/>
          <w:szCs w:val="24"/>
        </w:rPr>
        <w:t>Department of Family and Consumer</w:t>
      </w:r>
      <w:r w:rsidR="00E96A24">
        <w:rPr>
          <w:rFonts w:cs="Tahoma"/>
          <w:szCs w:val="24"/>
        </w:rPr>
        <w:t xml:space="preserve"> Sciences—Gerontology Program</w:t>
      </w:r>
      <w:r w:rsidR="00FD457A">
        <w:rPr>
          <w:rFonts w:cs="Tahoma"/>
          <w:szCs w:val="24"/>
        </w:rPr>
        <w:t xml:space="preserve"> and Professor Barbara White, Director of CSULB Gerontology Program</w:t>
      </w:r>
      <w:bookmarkStart w:id="0" w:name="_GoBack"/>
      <w:bookmarkEnd w:id="0"/>
      <w:r w:rsidRPr="000C5994">
        <w:rPr>
          <w:rFonts w:cs="Tahoma"/>
          <w:szCs w:val="24"/>
        </w:rPr>
        <w:t>)</w:t>
      </w:r>
    </w:p>
    <w:p w14:paraId="7B39D07A" w14:textId="4B7B4B32" w:rsidR="00E96A24" w:rsidRPr="00E96A24" w:rsidRDefault="00E96A24" w:rsidP="00E96A2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Academic Appeals Committee Annual Report for 2014-15 </w:t>
      </w:r>
    </w:p>
    <w:p w14:paraId="18BE52D6" w14:textId="77777777" w:rsidR="00A06062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p w14:paraId="25CC801C" w14:textId="5F9DA70D" w:rsidR="00D82549" w:rsidRPr="000C5994" w:rsidRDefault="00D82549" w:rsidP="00D82549">
      <w:pPr>
        <w:pStyle w:val="Tahoma"/>
        <w:spacing w:after="120"/>
        <w:jc w:val="left"/>
        <w:rPr>
          <w:rFonts w:cs="Tahoma"/>
          <w:szCs w:val="24"/>
        </w:rPr>
      </w:pPr>
    </w:p>
    <w:sectPr w:rsidR="00D8254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B72601" w:rsidRDefault="00B72601">
      <w:r>
        <w:separator/>
      </w:r>
    </w:p>
  </w:endnote>
  <w:endnote w:type="continuationSeparator" w:id="0">
    <w:p w14:paraId="7F2D5C1C" w14:textId="77777777" w:rsidR="00B72601" w:rsidRDefault="00B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B72601" w:rsidRDefault="00B72601">
      <w:r>
        <w:separator/>
      </w:r>
    </w:p>
  </w:footnote>
  <w:footnote w:type="continuationSeparator" w:id="0">
    <w:p w14:paraId="24CF4C2D" w14:textId="77777777" w:rsidR="00B72601" w:rsidRDefault="00B72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B72601" w:rsidRDefault="00B7260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B72601" w:rsidRDefault="00B7260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B72601" w:rsidRDefault="00B726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2A23"/>
    <w:rsid w:val="0045522E"/>
    <w:rsid w:val="004904FC"/>
    <w:rsid w:val="004938B8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07F6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A7F23"/>
    <w:rsid w:val="007C3CCE"/>
    <w:rsid w:val="007D4BCF"/>
    <w:rsid w:val="007D50C1"/>
    <w:rsid w:val="007E74E5"/>
    <w:rsid w:val="00817A5E"/>
    <w:rsid w:val="00825E79"/>
    <w:rsid w:val="00856522"/>
    <w:rsid w:val="0086102F"/>
    <w:rsid w:val="0086221F"/>
    <w:rsid w:val="008770DE"/>
    <w:rsid w:val="0089226E"/>
    <w:rsid w:val="008945C3"/>
    <w:rsid w:val="008F5375"/>
    <w:rsid w:val="00903B37"/>
    <w:rsid w:val="00911789"/>
    <w:rsid w:val="00913176"/>
    <w:rsid w:val="00927FF4"/>
    <w:rsid w:val="00930E6F"/>
    <w:rsid w:val="00943461"/>
    <w:rsid w:val="00994A93"/>
    <w:rsid w:val="009A0AC5"/>
    <w:rsid w:val="009A14D9"/>
    <w:rsid w:val="009A3274"/>
    <w:rsid w:val="009B3D55"/>
    <w:rsid w:val="00A0213B"/>
    <w:rsid w:val="00A06062"/>
    <w:rsid w:val="00A20E70"/>
    <w:rsid w:val="00A40A52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71EA1"/>
    <w:rsid w:val="00B72601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50195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7537E"/>
    <w:rsid w:val="00E96A24"/>
    <w:rsid w:val="00EB2119"/>
    <w:rsid w:val="00EC0BAD"/>
    <w:rsid w:val="00EC4A90"/>
    <w:rsid w:val="00EF0CC6"/>
    <w:rsid w:val="00F0793D"/>
    <w:rsid w:val="00F4562A"/>
    <w:rsid w:val="00F47F6E"/>
    <w:rsid w:val="00F56CEB"/>
    <w:rsid w:val="00F641E8"/>
    <w:rsid w:val="00FB2560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4</cp:revision>
  <cp:lastPrinted>2016-02-04T01:07:00Z</cp:lastPrinted>
  <dcterms:created xsi:type="dcterms:W3CDTF">2016-02-04T01:07:00Z</dcterms:created>
  <dcterms:modified xsi:type="dcterms:W3CDTF">2016-02-10T19:38:00Z</dcterms:modified>
</cp:coreProperties>
</file>