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611E" w14:textId="112FAA53" w:rsidR="00C75CDD" w:rsidRDefault="00C75CDD" w:rsidP="00C75CDD">
      <w:pPr>
        <w:pStyle w:val="ListParagraph"/>
        <w:numPr>
          <w:ilvl w:val="0"/>
          <w:numId w:val="1"/>
        </w:numPr>
      </w:pPr>
      <w:r w:rsidRPr="002E3342">
        <w:rPr>
          <w:b/>
        </w:rPr>
        <w:t xml:space="preserve">New Center for Evaluation and Educational Effectiveness (CEEE) in the College of Education: </w:t>
      </w:r>
      <w:r>
        <w:t>The center will provide evaluation services for programs, grants, and other clients on campus and in the educational community. It will also</w:t>
      </w:r>
      <w:r w:rsidRPr="00C75CDD">
        <w:t xml:space="preserve"> serve as a training ground advancing CSULB student learning of evaluation and research through professional experiences. The center will be housed in ED1- 18 and is already off to a strong start with collaborations with others on campus as well as external clients. </w:t>
      </w:r>
      <w:proofErr w:type="gramStart"/>
      <w:r>
        <w:t xml:space="preserve">The CEEE is run by </w:t>
      </w:r>
      <w:r w:rsidR="00ED710F">
        <w:t xml:space="preserve">Dr. </w:t>
      </w:r>
      <w:r w:rsidRPr="00C75CDD">
        <w:t xml:space="preserve">Don Haviland (Director) and </w:t>
      </w:r>
      <w:r w:rsidR="00ED710F">
        <w:t xml:space="preserve">Dr. </w:t>
      </w:r>
      <w:r>
        <w:t>Anna Ortiz</w:t>
      </w:r>
      <w:proofErr w:type="gramEnd"/>
      <w:r>
        <w:t xml:space="preserve"> (Executive </w:t>
      </w:r>
      <w:r w:rsidR="002E3342">
        <w:t>Director).</w:t>
      </w:r>
    </w:p>
    <w:p w14:paraId="223AC802" w14:textId="77777777" w:rsidR="002E3342" w:rsidRDefault="002E3342" w:rsidP="002E3342">
      <w:pPr>
        <w:pStyle w:val="ListParagraph"/>
      </w:pPr>
    </w:p>
    <w:p w14:paraId="65E43055" w14:textId="1700D1EC" w:rsidR="001B2D2D" w:rsidRPr="00C75CDD" w:rsidRDefault="001B2D2D" w:rsidP="001B2D2D">
      <w:pPr>
        <w:pStyle w:val="ListParagraph"/>
        <w:numPr>
          <w:ilvl w:val="0"/>
          <w:numId w:val="1"/>
        </w:numPr>
      </w:pPr>
      <w:r w:rsidRPr="00C75CDD">
        <w:rPr>
          <w:b/>
        </w:rPr>
        <w:t>Transition Year for CSU’s EAP (Early Assessment Program):</w:t>
      </w:r>
      <w:r w:rsidRPr="00C75CDD">
        <w:t xml:space="preserve"> EAP is an early warning system developed by the CSU that tells 11</w:t>
      </w:r>
      <w:r w:rsidRPr="00C75CDD">
        <w:rPr>
          <w:vertAlign w:val="superscript"/>
        </w:rPr>
        <w:t>th</w:t>
      </w:r>
      <w:r w:rsidRPr="00C75CDD">
        <w:t xml:space="preserve"> graders if they’re ready for college, and steps they should take if they’re not. Until now, it’s been a series of questions on the 11</w:t>
      </w:r>
      <w:r w:rsidRPr="00C75CDD">
        <w:rPr>
          <w:vertAlign w:val="superscript"/>
        </w:rPr>
        <w:t>th</w:t>
      </w:r>
      <w:r w:rsidRPr="00C75CDD">
        <w:t xml:space="preserve"> grade CA Standards Test, </w:t>
      </w:r>
      <w:r w:rsidR="00ED710F">
        <w:t>combined with</w:t>
      </w:r>
      <w:r w:rsidRPr="00C75CDD">
        <w:t xml:space="preserve"> a writing sample and 30 additional math and English language arts questions. With the change to the Common Core State Standards, California education officials replace</w:t>
      </w:r>
      <w:r w:rsidR="00ED710F">
        <w:t>d</w:t>
      </w:r>
      <w:r w:rsidRPr="00C75CDD">
        <w:t xml:space="preserve"> the EAP test with the new SmarterBalanced tests that include a common set of college readiness measurements. Under the old system, EAP was voluntary for high school juniors. Now, they all will be taking it. However, during this transition, more juniors may be told they’re not yet ready for college because they won’t score as high this year on the new tests as they would have on the old measurement. The CSU will be encouraging more juniors to spend their senior year taking a special writing class or other challenging English and math courses to avoid spending hundreds of dollars on remedial courses as college freshmen.</w:t>
      </w:r>
      <w:bookmarkStart w:id="0" w:name="_GoBack"/>
      <w:bookmarkEnd w:id="0"/>
    </w:p>
    <w:p w14:paraId="7E1F2031" w14:textId="77777777" w:rsidR="001B2D2D" w:rsidRDefault="001B2D2D" w:rsidP="001B2D2D">
      <w:pPr>
        <w:pStyle w:val="ListParagraph"/>
        <w:numPr>
          <w:ilvl w:val="1"/>
          <w:numId w:val="1"/>
        </w:numPr>
      </w:pPr>
      <w:hyperlink r:id="rId9" w:anchor=".VRl4oGZzppk?utm_source=Erin%27s+daily+email+March+30+2015&amp;utm_campaign=Daily_1-26-15&amp;utm_medium=email" w:history="1">
        <w:r w:rsidRPr="00C75CDD">
          <w:rPr>
            <w:rStyle w:val="Hyperlink"/>
          </w:rPr>
          <w:t>http://edsource.org/2015/new-tests-to-tell-juniors-if-theyre-college-ready/77378#.VRl4oGZzppk?utm_source=Erin%27s+daily+email+March+30+2015&amp;utm_campaign=Daily_1-26-15&amp;utm_medium=email</w:t>
        </w:r>
      </w:hyperlink>
    </w:p>
    <w:p w14:paraId="0B22E68C" w14:textId="77777777" w:rsidR="001B2D2D" w:rsidRDefault="001B2D2D" w:rsidP="001B2D2D">
      <w:pPr>
        <w:pStyle w:val="ListParagraph"/>
        <w:ind w:left="1440"/>
      </w:pPr>
    </w:p>
    <w:p w14:paraId="27ACC362" w14:textId="47F4680A" w:rsidR="00D029FA" w:rsidRPr="00D029FA" w:rsidRDefault="00D029FA" w:rsidP="00C75CDD">
      <w:pPr>
        <w:pStyle w:val="ListParagraph"/>
        <w:numPr>
          <w:ilvl w:val="0"/>
          <w:numId w:val="1"/>
        </w:numPr>
        <w:rPr>
          <w:b/>
        </w:rPr>
      </w:pPr>
      <w:r w:rsidRPr="00D029FA">
        <w:rPr>
          <w:b/>
        </w:rPr>
        <w:t>Ed-Data Education Partnership</w:t>
      </w:r>
      <w:r w:rsidR="00366823">
        <w:rPr>
          <w:b/>
        </w:rPr>
        <w:t xml:space="preserve"> Data – 2013-14</w:t>
      </w:r>
    </w:p>
    <w:p w14:paraId="349A16F1" w14:textId="08A804A2" w:rsidR="00C75CDD" w:rsidRDefault="001B2D2D" w:rsidP="00D029FA">
      <w:pPr>
        <w:pStyle w:val="ListParagraph"/>
        <w:numPr>
          <w:ilvl w:val="1"/>
          <w:numId w:val="1"/>
        </w:numPr>
      </w:pPr>
      <w:r>
        <w:t>Los Angeles County Ed-Data (</w:t>
      </w:r>
      <w:hyperlink r:id="rId10" w:history="1">
        <w:r w:rsidRPr="00103087">
          <w:rPr>
            <w:rStyle w:val="Hyperlink"/>
          </w:rPr>
          <w:t>http://www.ed-data.org/county/Los-Angeles</w:t>
        </w:r>
      </w:hyperlink>
      <w:proofErr w:type="gramStart"/>
      <w:r w:rsidR="00366823">
        <w:t xml:space="preserve"> )</w:t>
      </w:r>
      <w:proofErr w:type="gramEnd"/>
      <w:r w:rsidR="00366823">
        <w:t>:</w:t>
      </w:r>
    </w:p>
    <w:p w14:paraId="580E5E3C" w14:textId="1ABA889D" w:rsidR="001B2D2D" w:rsidRDefault="001B2D2D" w:rsidP="00D029FA">
      <w:pPr>
        <w:pStyle w:val="ListParagraph"/>
        <w:numPr>
          <w:ilvl w:val="2"/>
          <w:numId w:val="1"/>
        </w:numPr>
      </w:pPr>
      <w:r>
        <w:t>Enrollment: 1,552,704 (slight decline over 5 years)</w:t>
      </w:r>
    </w:p>
    <w:p w14:paraId="07426F75" w14:textId="7E6BAE92" w:rsidR="001B2D2D" w:rsidRDefault="001B2D2D" w:rsidP="00D029FA">
      <w:pPr>
        <w:pStyle w:val="ListParagraph"/>
        <w:numPr>
          <w:ilvl w:val="2"/>
          <w:numId w:val="1"/>
        </w:numPr>
      </w:pPr>
      <w:r>
        <w:t xml:space="preserve">Students on Free and Reduced Price Meals (proxy for SES): </w:t>
      </w:r>
      <w:r w:rsidR="00D029FA">
        <w:t xml:space="preserve">68% </w:t>
      </w:r>
    </w:p>
    <w:p w14:paraId="20107D45" w14:textId="707990A5" w:rsidR="001B2D2D" w:rsidRDefault="001B2D2D" w:rsidP="00D029FA">
      <w:pPr>
        <w:pStyle w:val="ListParagraph"/>
        <w:numPr>
          <w:ilvl w:val="2"/>
          <w:numId w:val="1"/>
        </w:numPr>
      </w:pPr>
      <w:r>
        <w:t>English Learners: 369,289</w:t>
      </w:r>
      <w:r w:rsidR="003F36C1">
        <w:t xml:space="preserve"> (322,900 ELs are Spanish speakers)</w:t>
      </w:r>
      <w:r w:rsidR="00D029FA">
        <w:t>: 24%</w:t>
      </w:r>
    </w:p>
    <w:p w14:paraId="7E717E78" w14:textId="0F1C8B17" w:rsidR="001B2D2D" w:rsidRDefault="001B2D2D" w:rsidP="00D029FA">
      <w:pPr>
        <w:pStyle w:val="ListParagraph"/>
        <w:numPr>
          <w:ilvl w:val="2"/>
          <w:numId w:val="1"/>
        </w:numPr>
      </w:pPr>
      <w:r>
        <w:t xml:space="preserve">Foster Youth: </w:t>
      </w:r>
      <w:r w:rsidR="00D029FA">
        <w:t>0.6% (</w:t>
      </w:r>
      <w:r>
        <w:t>9,370</w:t>
      </w:r>
      <w:r w:rsidR="00D029FA">
        <w:t xml:space="preserve"> kids)</w:t>
      </w:r>
    </w:p>
    <w:p w14:paraId="1F0910D4" w14:textId="47D1A47A" w:rsidR="001B2D2D" w:rsidRDefault="003F36C1" w:rsidP="00D029FA">
      <w:pPr>
        <w:pStyle w:val="ListParagraph"/>
        <w:numPr>
          <w:ilvl w:val="1"/>
          <w:numId w:val="1"/>
        </w:numPr>
      </w:pPr>
      <w:r>
        <w:t>Long Beach Unified Ed-Data (</w:t>
      </w:r>
      <w:hyperlink r:id="rId11" w:history="1">
        <w:r w:rsidRPr="00103087">
          <w:rPr>
            <w:rStyle w:val="Hyperlink"/>
          </w:rPr>
          <w:t>http://www.ed-data.org/district/Los-Angeles/Long-Beach-Unified</w:t>
        </w:r>
      </w:hyperlink>
      <w:r w:rsidR="00366823">
        <w:t>):</w:t>
      </w:r>
    </w:p>
    <w:p w14:paraId="14C922D0" w14:textId="5510A6DB" w:rsidR="003F36C1" w:rsidRDefault="003F36C1" w:rsidP="00D029FA">
      <w:pPr>
        <w:pStyle w:val="ListParagraph"/>
        <w:numPr>
          <w:ilvl w:val="2"/>
          <w:numId w:val="1"/>
        </w:numPr>
      </w:pPr>
      <w:r>
        <w:t>Enrollment: 81,155 (</w:t>
      </w:r>
      <w:r w:rsidR="00D029FA">
        <w:t xml:space="preserve">steady </w:t>
      </w:r>
      <w:r>
        <w:t>decline over 5 years)</w:t>
      </w:r>
    </w:p>
    <w:p w14:paraId="300480DF" w14:textId="5FCA2237" w:rsidR="003F36C1" w:rsidRDefault="003F36C1" w:rsidP="00D029FA">
      <w:pPr>
        <w:pStyle w:val="ListParagraph"/>
        <w:numPr>
          <w:ilvl w:val="2"/>
          <w:numId w:val="1"/>
        </w:numPr>
      </w:pPr>
      <w:r>
        <w:t>12</w:t>
      </w:r>
      <w:r w:rsidRPr="003F36C1">
        <w:rPr>
          <w:vertAlign w:val="superscript"/>
        </w:rPr>
        <w:t>th</w:t>
      </w:r>
      <w:r>
        <w:t xml:space="preserve"> Grade enrollment: 6,867 (consistent over 5 years)</w:t>
      </w:r>
    </w:p>
    <w:p w14:paraId="70CC118C" w14:textId="3261DC75" w:rsidR="003F36C1" w:rsidRDefault="003F36C1" w:rsidP="00D029FA">
      <w:pPr>
        <w:pStyle w:val="ListParagraph"/>
        <w:numPr>
          <w:ilvl w:val="2"/>
          <w:numId w:val="1"/>
        </w:numPr>
      </w:pPr>
      <w:r>
        <w:t xml:space="preserve">Students on Free and Reduced Price Meals (proxy for SES): </w:t>
      </w:r>
      <w:r w:rsidR="00D029FA">
        <w:t>68%</w:t>
      </w:r>
    </w:p>
    <w:p w14:paraId="77510633" w14:textId="69DA58AC" w:rsidR="003F36C1" w:rsidRDefault="003C05D0" w:rsidP="00D029FA">
      <w:pPr>
        <w:pStyle w:val="ListParagraph"/>
        <w:numPr>
          <w:ilvl w:val="2"/>
          <w:numId w:val="1"/>
        </w:numPr>
      </w:pPr>
      <w:r>
        <w:t xml:space="preserve">English Learners: </w:t>
      </w:r>
      <w:r w:rsidR="00D029FA">
        <w:t>24%</w:t>
      </w:r>
    </w:p>
    <w:p w14:paraId="75B2E047" w14:textId="7600C8FC" w:rsidR="003C05D0" w:rsidRDefault="003C05D0" w:rsidP="00D029FA">
      <w:pPr>
        <w:pStyle w:val="ListParagraph"/>
        <w:numPr>
          <w:ilvl w:val="2"/>
          <w:numId w:val="1"/>
        </w:numPr>
      </w:pPr>
      <w:r>
        <w:t xml:space="preserve">Foster Youth: </w:t>
      </w:r>
      <w:r w:rsidR="00D029FA">
        <w:t>0.5% (</w:t>
      </w:r>
      <w:r>
        <w:t>380</w:t>
      </w:r>
      <w:r w:rsidR="00D029FA">
        <w:t xml:space="preserve"> kids)</w:t>
      </w:r>
    </w:p>
    <w:p w14:paraId="172B6DB3" w14:textId="24236336" w:rsidR="00D029FA" w:rsidRDefault="00366823" w:rsidP="00D029FA">
      <w:pPr>
        <w:pStyle w:val="ListParagraph"/>
        <w:numPr>
          <w:ilvl w:val="1"/>
          <w:numId w:val="1"/>
        </w:numPr>
      </w:pPr>
      <w:r>
        <w:t>Race/Ethnicity Enrollment Comparisons</w:t>
      </w:r>
    </w:p>
    <w:tbl>
      <w:tblPr>
        <w:tblStyle w:val="TableGrid"/>
        <w:tblW w:w="0" w:type="auto"/>
        <w:tblInd w:w="1440" w:type="dxa"/>
        <w:tblLayout w:type="fixed"/>
        <w:tblLook w:val="04A0" w:firstRow="1" w:lastRow="0" w:firstColumn="1" w:lastColumn="0" w:noHBand="0" w:noVBand="1"/>
      </w:tblPr>
      <w:tblGrid>
        <w:gridCol w:w="2988"/>
        <w:gridCol w:w="1350"/>
        <w:gridCol w:w="1260"/>
        <w:gridCol w:w="2430"/>
      </w:tblGrid>
      <w:tr w:rsidR="009F1921" w14:paraId="3A7F0B0D" w14:textId="77777777" w:rsidTr="009F1921">
        <w:tc>
          <w:tcPr>
            <w:tcW w:w="2988" w:type="dxa"/>
          </w:tcPr>
          <w:p w14:paraId="42E0AF08" w14:textId="77777777" w:rsidR="00366823" w:rsidRDefault="00366823" w:rsidP="00366823">
            <w:pPr>
              <w:pStyle w:val="ListParagraph"/>
              <w:ind w:left="0"/>
            </w:pPr>
          </w:p>
        </w:tc>
        <w:tc>
          <w:tcPr>
            <w:tcW w:w="1350" w:type="dxa"/>
          </w:tcPr>
          <w:p w14:paraId="40A7A2F8" w14:textId="5D03729F" w:rsidR="00366823" w:rsidRDefault="00366823" w:rsidP="00366823">
            <w:pPr>
              <w:pStyle w:val="ListParagraph"/>
              <w:ind w:left="0"/>
              <w:jc w:val="center"/>
            </w:pPr>
            <w:r>
              <w:t>LA County</w:t>
            </w:r>
          </w:p>
        </w:tc>
        <w:tc>
          <w:tcPr>
            <w:tcW w:w="1260" w:type="dxa"/>
          </w:tcPr>
          <w:p w14:paraId="7A23CE7F" w14:textId="68512503" w:rsidR="00366823" w:rsidRDefault="00366823" w:rsidP="00366823">
            <w:pPr>
              <w:pStyle w:val="ListParagraph"/>
              <w:ind w:left="0"/>
              <w:jc w:val="center"/>
            </w:pPr>
            <w:r>
              <w:t>LBUSD</w:t>
            </w:r>
          </w:p>
        </w:tc>
        <w:tc>
          <w:tcPr>
            <w:tcW w:w="2430" w:type="dxa"/>
          </w:tcPr>
          <w:p w14:paraId="4AB5C623" w14:textId="7EA581BE" w:rsidR="00366823" w:rsidRDefault="00366823" w:rsidP="00366823">
            <w:pPr>
              <w:pStyle w:val="ListParagraph"/>
              <w:ind w:left="0"/>
              <w:jc w:val="center"/>
            </w:pPr>
            <w:r>
              <w:t>CSULB</w:t>
            </w:r>
            <w:r w:rsidR="009F1921">
              <w:t xml:space="preserve"> Undergrads</w:t>
            </w:r>
          </w:p>
        </w:tc>
      </w:tr>
      <w:tr w:rsidR="009F1921" w14:paraId="1CE46FC9" w14:textId="77777777" w:rsidTr="009F1921">
        <w:tc>
          <w:tcPr>
            <w:tcW w:w="2988" w:type="dxa"/>
          </w:tcPr>
          <w:p w14:paraId="74E83FAC" w14:textId="02A12952" w:rsidR="009F1921" w:rsidRDefault="009F1921" w:rsidP="00366823">
            <w:pPr>
              <w:pStyle w:val="ListParagraph"/>
              <w:ind w:left="0"/>
            </w:pPr>
            <w:r>
              <w:t>Total Enrollment</w:t>
            </w:r>
          </w:p>
        </w:tc>
        <w:tc>
          <w:tcPr>
            <w:tcW w:w="1350" w:type="dxa"/>
          </w:tcPr>
          <w:p w14:paraId="0CDF9948" w14:textId="7BBAE436" w:rsidR="009F1921" w:rsidRDefault="009F1921" w:rsidP="00366823">
            <w:pPr>
              <w:pStyle w:val="ListParagraph"/>
              <w:ind w:left="0"/>
              <w:jc w:val="center"/>
            </w:pPr>
            <w:r>
              <w:t>1,552,704</w:t>
            </w:r>
          </w:p>
        </w:tc>
        <w:tc>
          <w:tcPr>
            <w:tcW w:w="1260" w:type="dxa"/>
          </w:tcPr>
          <w:p w14:paraId="790812EE" w14:textId="07F4A7FB" w:rsidR="009F1921" w:rsidRDefault="009F1921" w:rsidP="00366823">
            <w:pPr>
              <w:pStyle w:val="ListParagraph"/>
              <w:ind w:left="0"/>
              <w:jc w:val="center"/>
            </w:pPr>
            <w:r>
              <w:t>81,155</w:t>
            </w:r>
          </w:p>
        </w:tc>
        <w:tc>
          <w:tcPr>
            <w:tcW w:w="2430" w:type="dxa"/>
          </w:tcPr>
          <w:p w14:paraId="45CB2202" w14:textId="54ABCF48" w:rsidR="009F1921" w:rsidRDefault="009F1921" w:rsidP="00366823">
            <w:pPr>
              <w:pStyle w:val="ListParagraph"/>
              <w:ind w:left="0"/>
              <w:jc w:val="center"/>
            </w:pPr>
            <w:r>
              <w:t>30,474</w:t>
            </w:r>
          </w:p>
        </w:tc>
      </w:tr>
      <w:tr w:rsidR="009F1921" w14:paraId="4840FCDA" w14:textId="77777777" w:rsidTr="009F1921">
        <w:tc>
          <w:tcPr>
            <w:tcW w:w="2988" w:type="dxa"/>
          </w:tcPr>
          <w:p w14:paraId="36D7BF80" w14:textId="485FDB94" w:rsidR="00366823" w:rsidRDefault="009F1921" w:rsidP="00366823">
            <w:pPr>
              <w:pStyle w:val="ListParagraph"/>
              <w:ind w:left="0"/>
            </w:pPr>
            <w:r>
              <w:t>Asian</w:t>
            </w:r>
          </w:p>
        </w:tc>
        <w:tc>
          <w:tcPr>
            <w:tcW w:w="1350" w:type="dxa"/>
          </w:tcPr>
          <w:p w14:paraId="0DDA59CF" w14:textId="301F7486" w:rsidR="00366823" w:rsidRDefault="00EF0E17" w:rsidP="009F1921">
            <w:pPr>
              <w:pStyle w:val="ListParagraph"/>
              <w:ind w:left="0"/>
              <w:jc w:val="center"/>
            </w:pPr>
            <w:r>
              <w:t>7.7%</w:t>
            </w:r>
          </w:p>
        </w:tc>
        <w:tc>
          <w:tcPr>
            <w:tcW w:w="1260" w:type="dxa"/>
          </w:tcPr>
          <w:p w14:paraId="0CB4188B" w14:textId="63ECEA94" w:rsidR="00366823" w:rsidRDefault="00EF0E17" w:rsidP="009F1921">
            <w:pPr>
              <w:pStyle w:val="ListParagraph"/>
              <w:ind w:left="0"/>
              <w:jc w:val="center"/>
            </w:pPr>
            <w:r>
              <w:t>7.5%</w:t>
            </w:r>
          </w:p>
        </w:tc>
        <w:tc>
          <w:tcPr>
            <w:tcW w:w="2430" w:type="dxa"/>
          </w:tcPr>
          <w:p w14:paraId="741E44C4" w14:textId="1E038D1A" w:rsidR="00366823" w:rsidRDefault="00EF0E17" w:rsidP="009F1921">
            <w:pPr>
              <w:pStyle w:val="ListParagraph"/>
              <w:ind w:left="0"/>
              <w:jc w:val="center"/>
            </w:pPr>
            <w:r>
              <w:t>22%</w:t>
            </w:r>
          </w:p>
        </w:tc>
      </w:tr>
      <w:tr w:rsidR="009F1921" w14:paraId="13BB174E" w14:textId="77777777" w:rsidTr="009F1921">
        <w:tc>
          <w:tcPr>
            <w:tcW w:w="2988" w:type="dxa"/>
          </w:tcPr>
          <w:p w14:paraId="00311589" w14:textId="4AACD4D0" w:rsidR="00366823" w:rsidRDefault="009F1921" w:rsidP="00366823">
            <w:pPr>
              <w:pStyle w:val="ListParagraph"/>
              <w:ind w:left="0"/>
            </w:pPr>
            <w:r>
              <w:t>Black or African American</w:t>
            </w:r>
          </w:p>
        </w:tc>
        <w:tc>
          <w:tcPr>
            <w:tcW w:w="1350" w:type="dxa"/>
          </w:tcPr>
          <w:p w14:paraId="7613D02E" w14:textId="0AF884B3" w:rsidR="00366823" w:rsidRDefault="001079E1" w:rsidP="009F1921">
            <w:pPr>
              <w:pStyle w:val="ListParagraph"/>
              <w:ind w:left="0"/>
              <w:jc w:val="center"/>
            </w:pPr>
            <w:r>
              <w:t>8.3%</w:t>
            </w:r>
          </w:p>
        </w:tc>
        <w:tc>
          <w:tcPr>
            <w:tcW w:w="1260" w:type="dxa"/>
          </w:tcPr>
          <w:p w14:paraId="71266361" w14:textId="47B7C35D" w:rsidR="00366823" w:rsidRDefault="001079E1" w:rsidP="009F1921">
            <w:pPr>
              <w:pStyle w:val="ListParagraph"/>
              <w:ind w:left="0"/>
              <w:jc w:val="center"/>
            </w:pPr>
            <w:r>
              <w:t>14.8%</w:t>
            </w:r>
          </w:p>
        </w:tc>
        <w:tc>
          <w:tcPr>
            <w:tcW w:w="2430" w:type="dxa"/>
          </w:tcPr>
          <w:p w14:paraId="68BF7367" w14:textId="649EAFAD" w:rsidR="00366823" w:rsidRDefault="001079E1" w:rsidP="009F1921">
            <w:pPr>
              <w:pStyle w:val="ListParagraph"/>
              <w:ind w:left="0"/>
              <w:jc w:val="center"/>
            </w:pPr>
            <w:r>
              <w:t>4%</w:t>
            </w:r>
          </w:p>
        </w:tc>
      </w:tr>
      <w:tr w:rsidR="009F1921" w14:paraId="65E30B4F" w14:textId="77777777" w:rsidTr="009F1921">
        <w:tc>
          <w:tcPr>
            <w:tcW w:w="2988" w:type="dxa"/>
          </w:tcPr>
          <w:p w14:paraId="0B79B97F" w14:textId="25F95412" w:rsidR="00366823" w:rsidRDefault="009F1921" w:rsidP="00366823">
            <w:pPr>
              <w:pStyle w:val="ListParagraph"/>
              <w:ind w:left="0"/>
            </w:pPr>
            <w:r>
              <w:t>Hispanic or Latino</w:t>
            </w:r>
          </w:p>
        </w:tc>
        <w:tc>
          <w:tcPr>
            <w:tcW w:w="1350" w:type="dxa"/>
          </w:tcPr>
          <w:p w14:paraId="57CDEC6A" w14:textId="73A1F8A4" w:rsidR="00366823" w:rsidRDefault="001079E1" w:rsidP="009F1921">
            <w:pPr>
              <w:pStyle w:val="ListParagraph"/>
              <w:ind w:left="0"/>
              <w:jc w:val="center"/>
            </w:pPr>
            <w:r>
              <w:t>65%</w:t>
            </w:r>
          </w:p>
        </w:tc>
        <w:tc>
          <w:tcPr>
            <w:tcW w:w="1260" w:type="dxa"/>
          </w:tcPr>
          <w:p w14:paraId="11F38FF4" w14:textId="6E605202" w:rsidR="00366823" w:rsidRDefault="001079E1" w:rsidP="009F1921">
            <w:pPr>
              <w:pStyle w:val="ListParagraph"/>
              <w:ind w:left="0"/>
              <w:jc w:val="center"/>
            </w:pPr>
            <w:r>
              <w:t>55%</w:t>
            </w:r>
          </w:p>
        </w:tc>
        <w:tc>
          <w:tcPr>
            <w:tcW w:w="2430" w:type="dxa"/>
          </w:tcPr>
          <w:p w14:paraId="47E63744" w14:textId="5BE4E0BA" w:rsidR="00366823" w:rsidRDefault="001079E1" w:rsidP="009F1921">
            <w:pPr>
              <w:pStyle w:val="ListParagraph"/>
              <w:ind w:left="0"/>
              <w:jc w:val="center"/>
            </w:pPr>
            <w:r>
              <w:t>37%</w:t>
            </w:r>
          </w:p>
        </w:tc>
      </w:tr>
      <w:tr w:rsidR="009F1921" w14:paraId="3ED92A5B" w14:textId="77777777" w:rsidTr="009F1921">
        <w:tc>
          <w:tcPr>
            <w:tcW w:w="2988" w:type="dxa"/>
          </w:tcPr>
          <w:p w14:paraId="5235CD36" w14:textId="691AF819" w:rsidR="00366823" w:rsidRDefault="009F1921" w:rsidP="00366823">
            <w:pPr>
              <w:pStyle w:val="ListParagraph"/>
              <w:ind w:left="0"/>
            </w:pPr>
            <w:r>
              <w:t>White</w:t>
            </w:r>
          </w:p>
        </w:tc>
        <w:tc>
          <w:tcPr>
            <w:tcW w:w="1350" w:type="dxa"/>
          </w:tcPr>
          <w:p w14:paraId="750E5F97" w14:textId="4720B24B" w:rsidR="00366823" w:rsidRDefault="001079E1" w:rsidP="009F1921">
            <w:pPr>
              <w:pStyle w:val="ListParagraph"/>
              <w:ind w:left="0"/>
              <w:jc w:val="center"/>
            </w:pPr>
            <w:r>
              <w:t>14%</w:t>
            </w:r>
          </w:p>
        </w:tc>
        <w:tc>
          <w:tcPr>
            <w:tcW w:w="1260" w:type="dxa"/>
          </w:tcPr>
          <w:p w14:paraId="43760EEE" w14:textId="5169EDFD" w:rsidR="00366823" w:rsidRDefault="001079E1" w:rsidP="009F1921">
            <w:pPr>
              <w:pStyle w:val="ListParagraph"/>
              <w:ind w:left="0"/>
              <w:jc w:val="center"/>
            </w:pPr>
            <w:r>
              <w:t>14%</w:t>
            </w:r>
          </w:p>
        </w:tc>
        <w:tc>
          <w:tcPr>
            <w:tcW w:w="2430" w:type="dxa"/>
          </w:tcPr>
          <w:p w14:paraId="232789AB" w14:textId="7B56E4E6" w:rsidR="00366823" w:rsidRDefault="001079E1" w:rsidP="009F1921">
            <w:pPr>
              <w:pStyle w:val="ListParagraph"/>
              <w:ind w:left="0"/>
              <w:jc w:val="center"/>
            </w:pPr>
            <w:r>
              <w:t>21%</w:t>
            </w:r>
          </w:p>
        </w:tc>
      </w:tr>
    </w:tbl>
    <w:p w14:paraId="25CFCFEA" w14:textId="36BF2EBB" w:rsidR="003D3BE3" w:rsidRPr="00C75CDD" w:rsidRDefault="003D3BE3" w:rsidP="003D3BE3"/>
    <w:sectPr w:rsidR="003D3BE3" w:rsidRPr="00C75CDD" w:rsidSect="00366823">
      <w:headerReference w:type="default" r:id="rId12"/>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AA27" w14:textId="77777777" w:rsidR="00EF0E17" w:rsidRDefault="00EF0E17" w:rsidP="00A63DF7">
      <w:r>
        <w:separator/>
      </w:r>
    </w:p>
  </w:endnote>
  <w:endnote w:type="continuationSeparator" w:id="0">
    <w:p w14:paraId="728B35E5" w14:textId="77777777" w:rsidR="00EF0E17" w:rsidRDefault="00EF0E17" w:rsidP="00A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222B" w14:textId="77777777" w:rsidR="00EF0E17" w:rsidRDefault="00EF0E17" w:rsidP="00A63DF7">
      <w:r>
        <w:separator/>
      </w:r>
    </w:p>
  </w:footnote>
  <w:footnote w:type="continuationSeparator" w:id="0">
    <w:p w14:paraId="01286F79" w14:textId="77777777" w:rsidR="00EF0E17" w:rsidRDefault="00EF0E17" w:rsidP="00A63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58"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386"/>
    </w:tblGrid>
    <w:tr w:rsidR="00EF0E17" w14:paraId="70757C28" w14:textId="77777777" w:rsidTr="00A63DF7">
      <w:trPr>
        <w:trHeight w:val="255"/>
      </w:trPr>
      <w:tc>
        <w:tcPr>
          <w:tcW w:w="5000" w:type="pct"/>
          <w:shd w:val="clear" w:color="auto" w:fill="95B3D7" w:themeFill="accent1" w:themeFillTint="99"/>
          <w:vAlign w:val="center"/>
        </w:tcPr>
        <w:p w14:paraId="369227EA" w14:textId="77777777" w:rsidR="00EF0E17" w:rsidRDefault="00EF0E17" w:rsidP="00A63DF7">
          <w:pPr>
            <w:pStyle w:val="Header"/>
            <w:jc w:val="center"/>
            <w:rPr>
              <w:rFonts w:ascii="Calibri" w:hAnsi="Calibri"/>
              <w:b/>
              <w:color w:val="FFFFFF" w:themeColor="background1"/>
              <w:sz w:val="32"/>
            </w:rPr>
          </w:pPr>
          <w:r>
            <w:rPr>
              <w:rFonts w:ascii="Calibri" w:hAnsi="Calibri"/>
              <w:b/>
              <w:color w:val="FFFFFF" w:themeColor="background1"/>
              <w:sz w:val="32"/>
            </w:rPr>
            <w:t xml:space="preserve">CSULB </w:t>
          </w:r>
          <w:r w:rsidRPr="00A63DF7">
            <w:rPr>
              <w:rFonts w:ascii="Calibri" w:hAnsi="Calibri"/>
              <w:b/>
              <w:color w:val="FFFFFF" w:themeColor="background1"/>
              <w:sz w:val="32"/>
            </w:rPr>
            <w:t>EDUCATION UPDATE</w:t>
          </w:r>
        </w:p>
        <w:p w14:paraId="20121327" w14:textId="2045C92C" w:rsidR="00EF0E17" w:rsidRPr="00F4333E" w:rsidRDefault="00EF0E17" w:rsidP="00A63DF7">
          <w:pPr>
            <w:pStyle w:val="Header"/>
            <w:jc w:val="center"/>
            <w:rPr>
              <w:rFonts w:ascii="Calibri" w:hAnsi="Calibri"/>
              <w:b/>
              <w:caps/>
              <w:color w:val="FFFFFF" w:themeColor="background1"/>
            </w:rPr>
          </w:pPr>
          <w:r>
            <w:rPr>
              <w:rFonts w:ascii="Calibri" w:hAnsi="Calibri"/>
              <w:b/>
              <w:color w:val="FFFFFF" w:themeColor="background1"/>
              <w:sz w:val="20"/>
            </w:rPr>
            <w:t>Educator Preparation Committee, April</w:t>
          </w:r>
          <w:r w:rsidRPr="00DC7718">
            <w:rPr>
              <w:rFonts w:ascii="Calibri" w:hAnsi="Calibri"/>
              <w:b/>
              <w:color w:val="FFFFFF" w:themeColor="background1"/>
              <w:sz w:val="20"/>
            </w:rPr>
            <w:t xml:space="preserve"> 2015</w:t>
          </w:r>
        </w:p>
      </w:tc>
    </w:tr>
  </w:tbl>
  <w:p w14:paraId="66290530" w14:textId="77777777" w:rsidR="00EF0E17" w:rsidRDefault="00EF0E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E99"/>
    <w:multiLevelType w:val="hybridMultilevel"/>
    <w:tmpl w:val="DC40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C4E59"/>
    <w:multiLevelType w:val="hybridMultilevel"/>
    <w:tmpl w:val="00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46AB"/>
    <w:multiLevelType w:val="hybridMultilevel"/>
    <w:tmpl w:val="BE34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372EA"/>
    <w:multiLevelType w:val="hybridMultilevel"/>
    <w:tmpl w:val="A50A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F7"/>
    <w:rsid w:val="000633E2"/>
    <w:rsid w:val="00095587"/>
    <w:rsid w:val="000965E8"/>
    <w:rsid w:val="000A500C"/>
    <w:rsid w:val="001079E1"/>
    <w:rsid w:val="001B2D2D"/>
    <w:rsid w:val="002E3342"/>
    <w:rsid w:val="00366823"/>
    <w:rsid w:val="003C05D0"/>
    <w:rsid w:val="003D3BE3"/>
    <w:rsid w:val="003F36C1"/>
    <w:rsid w:val="004E4C4E"/>
    <w:rsid w:val="00630482"/>
    <w:rsid w:val="009E4CB3"/>
    <w:rsid w:val="009F1921"/>
    <w:rsid w:val="00A63DF7"/>
    <w:rsid w:val="00AA4FAB"/>
    <w:rsid w:val="00BC51ED"/>
    <w:rsid w:val="00BE2552"/>
    <w:rsid w:val="00C203A7"/>
    <w:rsid w:val="00C75CDD"/>
    <w:rsid w:val="00CE5E6D"/>
    <w:rsid w:val="00D029FA"/>
    <w:rsid w:val="00D74547"/>
    <w:rsid w:val="00DC7718"/>
    <w:rsid w:val="00ED710F"/>
    <w:rsid w:val="00EF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5C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F7"/>
    <w:pPr>
      <w:tabs>
        <w:tab w:val="center" w:pos="4320"/>
        <w:tab w:val="right" w:pos="8640"/>
      </w:tabs>
    </w:pPr>
  </w:style>
  <w:style w:type="character" w:customStyle="1" w:styleId="HeaderChar">
    <w:name w:val="Header Char"/>
    <w:basedOn w:val="DefaultParagraphFont"/>
    <w:link w:val="Header"/>
    <w:uiPriority w:val="99"/>
    <w:rsid w:val="00A63DF7"/>
  </w:style>
  <w:style w:type="paragraph" w:styleId="Footer">
    <w:name w:val="footer"/>
    <w:basedOn w:val="Normal"/>
    <w:link w:val="FooterChar"/>
    <w:uiPriority w:val="99"/>
    <w:unhideWhenUsed/>
    <w:rsid w:val="00A63DF7"/>
    <w:pPr>
      <w:tabs>
        <w:tab w:val="center" w:pos="4320"/>
        <w:tab w:val="right" w:pos="8640"/>
      </w:tabs>
    </w:pPr>
  </w:style>
  <w:style w:type="character" w:customStyle="1" w:styleId="FooterChar">
    <w:name w:val="Footer Char"/>
    <w:basedOn w:val="DefaultParagraphFont"/>
    <w:link w:val="Footer"/>
    <w:uiPriority w:val="99"/>
    <w:rsid w:val="00A63DF7"/>
  </w:style>
  <w:style w:type="character" w:styleId="Hyperlink">
    <w:name w:val="Hyperlink"/>
    <w:basedOn w:val="DefaultParagraphFont"/>
    <w:uiPriority w:val="99"/>
    <w:unhideWhenUsed/>
    <w:rsid w:val="00630482"/>
    <w:rPr>
      <w:color w:val="0000FF" w:themeColor="hyperlink"/>
      <w:u w:val="single"/>
    </w:rPr>
  </w:style>
  <w:style w:type="paragraph" w:styleId="ListParagraph">
    <w:name w:val="List Paragraph"/>
    <w:basedOn w:val="Normal"/>
    <w:uiPriority w:val="34"/>
    <w:qFormat/>
    <w:rsid w:val="00630482"/>
    <w:pPr>
      <w:ind w:left="720"/>
      <w:contextualSpacing/>
    </w:pPr>
  </w:style>
  <w:style w:type="character" w:styleId="FollowedHyperlink">
    <w:name w:val="FollowedHyperlink"/>
    <w:basedOn w:val="DefaultParagraphFont"/>
    <w:uiPriority w:val="99"/>
    <w:semiHidden/>
    <w:unhideWhenUsed/>
    <w:rsid w:val="00AA4FAB"/>
    <w:rPr>
      <w:color w:val="800080" w:themeColor="followedHyperlink"/>
      <w:u w:val="single"/>
    </w:rPr>
  </w:style>
  <w:style w:type="table" w:styleId="TableGrid">
    <w:name w:val="Table Grid"/>
    <w:basedOn w:val="TableNormal"/>
    <w:uiPriority w:val="59"/>
    <w:rsid w:val="00366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F7"/>
    <w:pPr>
      <w:tabs>
        <w:tab w:val="center" w:pos="4320"/>
        <w:tab w:val="right" w:pos="8640"/>
      </w:tabs>
    </w:pPr>
  </w:style>
  <w:style w:type="character" w:customStyle="1" w:styleId="HeaderChar">
    <w:name w:val="Header Char"/>
    <w:basedOn w:val="DefaultParagraphFont"/>
    <w:link w:val="Header"/>
    <w:uiPriority w:val="99"/>
    <w:rsid w:val="00A63DF7"/>
  </w:style>
  <w:style w:type="paragraph" w:styleId="Footer">
    <w:name w:val="footer"/>
    <w:basedOn w:val="Normal"/>
    <w:link w:val="FooterChar"/>
    <w:uiPriority w:val="99"/>
    <w:unhideWhenUsed/>
    <w:rsid w:val="00A63DF7"/>
    <w:pPr>
      <w:tabs>
        <w:tab w:val="center" w:pos="4320"/>
        <w:tab w:val="right" w:pos="8640"/>
      </w:tabs>
    </w:pPr>
  </w:style>
  <w:style w:type="character" w:customStyle="1" w:styleId="FooterChar">
    <w:name w:val="Footer Char"/>
    <w:basedOn w:val="DefaultParagraphFont"/>
    <w:link w:val="Footer"/>
    <w:uiPriority w:val="99"/>
    <w:rsid w:val="00A63DF7"/>
  </w:style>
  <w:style w:type="character" w:styleId="Hyperlink">
    <w:name w:val="Hyperlink"/>
    <w:basedOn w:val="DefaultParagraphFont"/>
    <w:uiPriority w:val="99"/>
    <w:unhideWhenUsed/>
    <w:rsid w:val="00630482"/>
    <w:rPr>
      <w:color w:val="0000FF" w:themeColor="hyperlink"/>
      <w:u w:val="single"/>
    </w:rPr>
  </w:style>
  <w:style w:type="paragraph" w:styleId="ListParagraph">
    <w:name w:val="List Paragraph"/>
    <w:basedOn w:val="Normal"/>
    <w:uiPriority w:val="34"/>
    <w:qFormat/>
    <w:rsid w:val="00630482"/>
    <w:pPr>
      <w:ind w:left="720"/>
      <w:contextualSpacing/>
    </w:pPr>
  </w:style>
  <w:style w:type="character" w:styleId="FollowedHyperlink">
    <w:name w:val="FollowedHyperlink"/>
    <w:basedOn w:val="DefaultParagraphFont"/>
    <w:uiPriority w:val="99"/>
    <w:semiHidden/>
    <w:unhideWhenUsed/>
    <w:rsid w:val="00AA4FAB"/>
    <w:rPr>
      <w:color w:val="800080" w:themeColor="followedHyperlink"/>
      <w:u w:val="single"/>
    </w:rPr>
  </w:style>
  <w:style w:type="table" w:styleId="TableGrid">
    <w:name w:val="Table Grid"/>
    <w:basedOn w:val="TableNormal"/>
    <w:uiPriority w:val="59"/>
    <w:rsid w:val="00366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data.org/district/Los-Angeles/Long-Beach-Unified"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source.org/2015/new-tests-to-tell-juniors-if-theyre-college-ready/77378" TargetMode="External"/><Relationship Id="rId10" Type="http://schemas.openxmlformats.org/officeDocument/2006/relationships/hyperlink" Target="http://www.ed-data.org/county/Los-Ang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DD53-C290-E64E-85D6-D8BD9682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460</Words>
  <Characters>2623</Characters>
  <Application>Microsoft Macintosh Word</Application>
  <DocSecurity>0</DocSecurity>
  <Lines>21</Lines>
  <Paragraphs>6</Paragraphs>
  <ScaleCrop>false</ScaleCrop>
  <Company>CSULB</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Grutzik</dc:creator>
  <cp:keywords/>
  <dc:description/>
  <cp:lastModifiedBy>Cynthia Grutzik</cp:lastModifiedBy>
  <cp:revision>11</cp:revision>
  <dcterms:created xsi:type="dcterms:W3CDTF">2015-04-07T22:22:00Z</dcterms:created>
  <dcterms:modified xsi:type="dcterms:W3CDTF">2015-04-08T06:47:00Z</dcterms:modified>
</cp:coreProperties>
</file>