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587" w:rsidRPr="00173BCF" w:rsidRDefault="00792587" w:rsidP="00792587">
      <w:pPr>
        <w:spacing w:after="0" w:line="240" w:lineRule="auto"/>
        <w:jc w:val="center"/>
        <w:rPr>
          <w:rFonts w:asciiTheme="majorHAnsi" w:hAnsiTheme="majorHAnsi"/>
          <w:b/>
        </w:rPr>
      </w:pPr>
      <w:r w:rsidRPr="00173BCF">
        <w:rPr>
          <w:rFonts w:asciiTheme="majorHAnsi" w:hAnsiTheme="majorHAnsi"/>
          <w:b/>
        </w:rPr>
        <w:t>Academic Senate of California State University, Long Beach</w:t>
      </w:r>
    </w:p>
    <w:p w:rsidR="00792587" w:rsidRPr="00173BCF" w:rsidRDefault="00792587" w:rsidP="00792587">
      <w:pPr>
        <w:spacing w:after="0" w:line="240" w:lineRule="auto"/>
        <w:jc w:val="center"/>
        <w:rPr>
          <w:rFonts w:asciiTheme="majorHAnsi" w:hAnsiTheme="majorHAnsi"/>
          <w:b/>
        </w:rPr>
      </w:pPr>
      <w:r w:rsidRPr="00173BCF">
        <w:rPr>
          <w:rFonts w:asciiTheme="majorHAnsi" w:hAnsiTheme="majorHAnsi"/>
          <w:b/>
        </w:rPr>
        <w:t>Year-End Report 2010-11</w:t>
      </w:r>
    </w:p>
    <w:p w:rsidR="00792587" w:rsidRPr="00173BCF" w:rsidRDefault="00792587" w:rsidP="00792587">
      <w:pPr>
        <w:spacing w:after="0" w:line="240" w:lineRule="auto"/>
        <w:jc w:val="center"/>
        <w:rPr>
          <w:rFonts w:asciiTheme="majorHAnsi" w:hAnsiTheme="majorHAnsi"/>
          <w:b/>
        </w:rPr>
      </w:pPr>
      <w:r w:rsidRPr="00173BCF">
        <w:rPr>
          <w:rFonts w:asciiTheme="majorHAnsi" w:hAnsiTheme="majorHAnsi"/>
          <w:b/>
        </w:rPr>
        <w:t>International Education Committee</w:t>
      </w:r>
    </w:p>
    <w:p w:rsidR="00575E44" w:rsidRDefault="00792587" w:rsidP="00792587">
      <w:pPr>
        <w:spacing w:after="0" w:line="240" w:lineRule="auto"/>
        <w:jc w:val="center"/>
        <w:rPr>
          <w:rFonts w:asciiTheme="majorHAnsi" w:hAnsiTheme="majorHAnsi"/>
          <w:b/>
        </w:rPr>
      </w:pPr>
      <w:r w:rsidRPr="00173BCF">
        <w:rPr>
          <w:rFonts w:asciiTheme="majorHAnsi" w:hAnsiTheme="majorHAnsi"/>
          <w:b/>
        </w:rPr>
        <w:t>June 30, 2011</w:t>
      </w:r>
    </w:p>
    <w:p w:rsidR="00575E44" w:rsidRDefault="00575E44" w:rsidP="00792587">
      <w:pPr>
        <w:spacing w:after="0" w:line="240" w:lineRule="auto"/>
        <w:jc w:val="center"/>
        <w:rPr>
          <w:rFonts w:asciiTheme="majorHAnsi" w:hAnsiTheme="majorHAnsi"/>
          <w:b/>
        </w:rPr>
      </w:pPr>
    </w:p>
    <w:p w:rsidR="00792587" w:rsidRPr="00173BCF" w:rsidRDefault="00575E44" w:rsidP="00575E44">
      <w:pPr>
        <w:spacing w:after="0" w:line="240" w:lineRule="auto"/>
        <w:rPr>
          <w:rFonts w:asciiTheme="majorHAnsi" w:hAnsiTheme="majorHAnsi"/>
          <w:b/>
        </w:rPr>
      </w:pPr>
      <w:r>
        <w:rPr>
          <w:rFonts w:asciiTheme="majorHAnsi" w:hAnsiTheme="majorHAnsi"/>
          <w:b/>
        </w:rPr>
        <w:t>Written By: Richard R. Marcus, Chair, IEC</w:t>
      </w:r>
    </w:p>
    <w:p w:rsidR="00792587" w:rsidRPr="00173BCF" w:rsidRDefault="00792587" w:rsidP="00792587">
      <w:pPr>
        <w:rPr>
          <w:rFonts w:asciiTheme="majorHAnsi" w:hAnsiTheme="majorHAnsi"/>
          <w:b/>
        </w:rPr>
      </w:pPr>
      <w:r w:rsidRPr="00173BCF">
        <w:rPr>
          <w:rFonts w:asciiTheme="majorHAnsi" w:hAnsiTheme="majorHAnsi"/>
          <w:b/>
        </w:rPr>
        <w:t>Membership:</w:t>
      </w:r>
    </w:p>
    <w:p w:rsidR="00792587" w:rsidRPr="00173BCF" w:rsidRDefault="00792587" w:rsidP="00792587">
      <w:pPr>
        <w:spacing w:after="0" w:line="240" w:lineRule="auto"/>
        <w:jc w:val="center"/>
        <w:rPr>
          <w:rFonts w:asciiTheme="majorHAnsi" w:eastAsiaTheme="minorHAnsi" w:hAnsiTheme="majorHAnsi" w:cstheme="minorBidi"/>
          <w:b/>
          <w:color w:val="333333"/>
          <w:szCs w:val="20"/>
        </w:rPr>
        <w:sectPr w:rsidR="00792587" w:rsidRPr="00173BCF">
          <w:footerReference w:type="even" r:id="rId7"/>
          <w:footerReference w:type="default" r:id="rId8"/>
          <w:pgSz w:w="12240" w:h="15840"/>
          <w:pgMar w:top="1440" w:right="1440" w:bottom="1440" w:left="1440" w:header="720" w:footer="720" w:gutter="0"/>
          <w:cols w:space="720"/>
        </w:sectPr>
      </w:pPr>
    </w:p>
    <w:tbl>
      <w:tblPr>
        <w:tblW w:w="4441" w:type="dxa"/>
        <w:tblInd w:w="95" w:type="dxa"/>
        <w:tblBorders>
          <w:top w:val="single" w:sz="12" w:space="0" w:color="008000"/>
          <w:left w:val="nil"/>
          <w:bottom w:val="single" w:sz="12" w:space="0" w:color="008000"/>
          <w:right w:val="nil"/>
          <w:insideH w:val="nil"/>
          <w:insideV w:val="nil"/>
        </w:tblBorders>
        <w:tblLook w:val="00BF"/>
      </w:tblPr>
      <w:tblGrid>
        <w:gridCol w:w="1171"/>
        <w:gridCol w:w="850"/>
        <w:gridCol w:w="2420"/>
      </w:tblGrid>
      <w:tr w:rsidR="00CA7F0B" w:rsidRPr="00CA7F0B" w:rsidTr="00CA7F0B">
        <w:trPr>
          <w:trHeight w:val="360"/>
        </w:trPr>
        <w:tc>
          <w:tcPr>
            <w:tcW w:w="1019" w:type="dxa"/>
            <w:tcBorders>
              <w:bottom w:val="single" w:sz="6" w:space="0" w:color="008000"/>
            </w:tcBorders>
            <w:shd w:val="clear" w:color="auto" w:fill="auto"/>
            <w:noWrap/>
            <w:vAlign w:val="bottom"/>
          </w:tcPr>
          <w:p w:rsidR="00CA7F0B" w:rsidRPr="00CA7F0B" w:rsidRDefault="00CA7F0B" w:rsidP="00CA7F0B">
            <w:pPr>
              <w:spacing w:after="0" w:line="240" w:lineRule="auto"/>
              <w:jc w:val="center"/>
              <w:rPr>
                <w:rFonts w:eastAsiaTheme="minorHAnsi" w:cstheme="minorBidi"/>
              </w:rPr>
            </w:pPr>
            <w:r w:rsidRPr="00CA7F0B">
              <w:rPr>
                <w:rFonts w:eastAsiaTheme="minorHAnsi" w:cstheme="minorBidi"/>
              </w:rPr>
              <w:lastRenderedPageBreak/>
              <w:t>Last Name</w:t>
            </w:r>
          </w:p>
        </w:tc>
        <w:tc>
          <w:tcPr>
            <w:tcW w:w="719" w:type="dxa"/>
            <w:tcBorders>
              <w:bottom w:val="single" w:sz="6" w:space="0" w:color="008000"/>
            </w:tcBorders>
            <w:shd w:val="clear" w:color="auto" w:fill="auto"/>
            <w:noWrap/>
            <w:vAlign w:val="bottom"/>
          </w:tcPr>
          <w:p w:rsidR="00CA7F0B" w:rsidRPr="00CA7F0B" w:rsidRDefault="00CA7F0B" w:rsidP="00CA7F0B">
            <w:pPr>
              <w:spacing w:after="0" w:line="240" w:lineRule="auto"/>
              <w:jc w:val="center"/>
              <w:rPr>
                <w:rFonts w:eastAsiaTheme="minorHAnsi" w:cstheme="minorBidi"/>
                <w:sz w:val="18"/>
                <w:szCs w:val="18"/>
              </w:rPr>
            </w:pPr>
            <w:r w:rsidRPr="00CA7F0B">
              <w:rPr>
                <w:rFonts w:eastAsiaTheme="minorHAnsi" w:cstheme="minorBidi"/>
                <w:sz w:val="18"/>
                <w:szCs w:val="18"/>
              </w:rPr>
              <w:t>First Name</w:t>
            </w:r>
          </w:p>
        </w:tc>
        <w:tc>
          <w:tcPr>
            <w:tcW w:w="2703" w:type="dxa"/>
            <w:tcBorders>
              <w:bottom w:val="single" w:sz="6" w:space="0" w:color="008000"/>
            </w:tcBorders>
            <w:shd w:val="clear" w:color="auto" w:fill="auto"/>
            <w:noWrap/>
            <w:vAlign w:val="bottom"/>
          </w:tcPr>
          <w:p w:rsidR="00CA7F0B" w:rsidRPr="00CA7F0B" w:rsidRDefault="00CA7F0B" w:rsidP="00CA7F0B">
            <w:pPr>
              <w:spacing w:after="0" w:line="240" w:lineRule="auto"/>
              <w:jc w:val="center"/>
              <w:rPr>
                <w:rFonts w:eastAsiaTheme="minorHAnsi" w:cstheme="minorBidi"/>
                <w:sz w:val="18"/>
                <w:szCs w:val="18"/>
              </w:rPr>
            </w:pPr>
            <w:r w:rsidRPr="00CA7F0B">
              <w:rPr>
                <w:rFonts w:eastAsiaTheme="minorHAnsi" w:cstheme="minorBidi"/>
                <w:sz w:val="18"/>
                <w:szCs w:val="18"/>
              </w:rPr>
              <w:t>Department, College</w:t>
            </w:r>
          </w:p>
        </w:tc>
      </w:tr>
      <w:tr w:rsidR="00CA7F0B" w:rsidRPr="00CA7F0B" w:rsidTr="00CA7F0B">
        <w:trPr>
          <w:trHeight w:val="360"/>
        </w:trPr>
        <w:tc>
          <w:tcPr>
            <w:tcW w:w="1019" w:type="dxa"/>
            <w:tcBorders>
              <w:top w:val="single" w:sz="6" w:space="0" w:color="008000"/>
            </w:tcBorders>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Smith</w:t>
            </w:r>
          </w:p>
        </w:tc>
        <w:tc>
          <w:tcPr>
            <w:tcW w:w="719" w:type="dxa"/>
            <w:tcBorders>
              <w:top w:val="single" w:sz="6" w:space="0" w:color="008000"/>
            </w:tcBorders>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Ed</w:t>
            </w:r>
          </w:p>
        </w:tc>
        <w:tc>
          <w:tcPr>
            <w:tcW w:w="2703" w:type="dxa"/>
            <w:tcBorders>
              <w:top w:val="single" w:sz="6" w:space="0" w:color="008000"/>
            </w:tcBorders>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Management/Human Resource Management, CBA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Washburn</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Mark</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Management/Human Resource Management, CBA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 xml:space="preserve">An </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Shuhua</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Teacher Education, CED</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Portnoi            VICE-CHAIR</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xml:space="preserve">Laura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Advanced Studies in Education &amp; Counseling, CED</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Washington</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Thomas</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Social Work, CHHS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Blazey</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xml:space="preserve">Michael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Facilities &amp; Technical Planning, CHHS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Serrano</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Nhora</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Comparative World Literature &amp; Classics, CLA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 xml:space="preserve">McEneaney </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xml:space="preserve">Elizabeth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Sociology, CLA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 xml:space="preserve">Velcic                </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Vlatka</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Comparative World Literature &amp; Classics, CLA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Marcus          CHAIR</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Richard</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International Studies Program, CLA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Kelty</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Thomas</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Science Education, CNSM</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Martin (Dunlop)</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xml:space="preserve">Catherine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Science Education, CNSM</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Sciortino</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Antonella</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Civil Engineering &amp; Construction Engineering Management, COE</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Saadeh</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Shadi</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Civil Engineering &amp; Construction Engineering Management, COE</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Anglin</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David</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Music, COTA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Silveira</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Carlos</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Art, COTA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Herscovitz</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Heloisa</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Journalism, CLA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Meisel Lusby</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Carolin</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Recreation, CHHS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VACANT</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lastRenderedPageBreak/>
              <w:t>VACANT</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VACANT</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Rivera- Chang</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Jose</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Design, COTA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Bosch</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Eileen</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University Library</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Hagen- Crowder</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xml:space="preserve">Teresa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University Relations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Maravillas</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Jennifer</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Associated Students, Inc.</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Burkard</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Casey</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Associated Students, Inc.</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Allen</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Terre</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Faculty Center for Professional Development, Academic Affairs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Vazquez-Ramos</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Armando</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Chicano &amp; Latino Studies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Curtis</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Ken</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International Education &amp; Global Engagement, Academic Affairs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George</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Simon</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Physics &amp; Astronomy</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Jensen</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Nathan</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International Education &amp; Global Engagement, Academic Affairs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Kennedy</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Leslie</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Instructional Technology Support Services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Lee</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Robin</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Career Development Center, Student Services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Joshee</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Jeet</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CCPE</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Browne</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Elson</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Housing &amp; Residential Life</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Hostetler</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xml:space="preserve">Michael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Student Services</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Reis</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Raul</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Journalism, CLA</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VACANT</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 </w:t>
            </w:r>
          </w:p>
        </w:tc>
      </w:tr>
      <w:tr w:rsidR="00CA7F0B" w:rsidRPr="00CA7F0B" w:rsidTr="00CA7F0B">
        <w:trPr>
          <w:trHeight w:val="360"/>
        </w:trPr>
        <w:tc>
          <w:tcPr>
            <w:tcW w:w="1019" w:type="dxa"/>
            <w:shd w:val="clear" w:color="auto" w:fill="auto"/>
            <w:vAlign w:val="bottom"/>
          </w:tcPr>
          <w:p w:rsidR="00CA7F0B" w:rsidRPr="00CA7F0B" w:rsidRDefault="00CA7F0B" w:rsidP="00CA7F0B">
            <w:pPr>
              <w:spacing w:after="0" w:line="240" w:lineRule="auto"/>
              <w:rPr>
                <w:rFonts w:eastAsiaTheme="minorHAnsi" w:cstheme="minorBidi"/>
              </w:rPr>
            </w:pPr>
            <w:r w:rsidRPr="00CA7F0B">
              <w:rPr>
                <w:rFonts w:eastAsiaTheme="minorHAnsi" w:cstheme="minorBidi"/>
              </w:rPr>
              <w:t>Joshee</w:t>
            </w:r>
          </w:p>
        </w:tc>
        <w:tc>
          <w:tcPr>
            <w:tcW w:w="719" w:type="dxa"/>
            <w:shd w:val="clear" w:color="auto" w:fill="auto"/>
            <w:noWrap/>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Jeet</w:t>
            </w:r>
          </w:p>
        </w:tc>
        <w:tc>
          <w:tcPr>
            <w:tcW w:w="2703" w:type="dxa"/>
            <w:shd w:val="clear" w:color="auto" w:fill="auto"/>
            <w:vAlign w:val="bottom"/>
          </w:tcPr>
          <w:p w:rsidR="00CA7F0B" w:rsidRPr="00CA7F0B" w:rsidRDefault="00CA7F0B" w:rsidP="00CA7F0B">
            <w:pPr>
              <w:spacing w:after="0" w:line="240" w:lineRule="auto"/>
              <w:rPr>
                <w:rFonts w:eastAsiaTheme="minorHAnsi" w:cstheme="minorBidi"/>
                <w:sz w:val="18"/>
                <w:szCs w:val="18"/>
              </w:rPr>
            </w:pPr>
            <w:r w:rsidRPr="00CA7F0B">
              <w:rPr>
                <w:rFonts w:eastAsiaTheme="minorHAnsi" w:cstheme="minorBidi"/>
                <w:sz w:val="18"/>
                <w:szCs w:val="18"/>
              </w:rPr>
              <w:t>CCPE</w:t>
            </w:r>
          </w:p>
        </w:tc>
      </w:tr>
    </w:tbl>
    <w:p w:rsidR="00792587" w:rsidRPr="00173BCF" w:rsidRDefault="00792587" w:rsidP="00792587">
      <w:pPr>
        <w:rPr>
          <w:rFonts w:asciiTheme="majorHAnsi" w:hAnsiTheme="majorHAnsi"/>
        </w:rPr>
        <w:sectPr w:rsidR="00792587" w:rsidRPr="00173BCF">
          <w:type w:val="continuous"/>
          <w:pgSz w:w="12240" w:h="15840"/>
          <w:pgMar w:top="1440" w:right="1440" w:bottom="1440" w:left="1440" w:header="720" w:footer="720" w:gutter="0"/>
          <w:cols w:num="2" w:space="720"/>
        </w:sectPr>
      </w:pPr>
    </w:p>
    <w:p w:rsidR="00792587" w:rsidRPr="00173BCF" w:rsidRDefault="00792587" w:rsidP="00792587">
      <w:pPr>
        <w:spacing w:after="0" w:line="240" w:lineRule="auto"/>
        <w:rPr>
          <w:rFonts w:asciiTheme="majorHAnsi" w:hAnsiTheme="majorHAnsi"/>
        </w:rPr>
      </w:pPr>
      <w:r w:rsidRPr="00173BCF">
        <w:rPr>
          <w:rFonts w:asciiTheme="majorHAnsi" w:hAnsiTheme="majorHAnsi"/>
        </w:rPr>
        <w:lastRenderedPageBreak/>
        <w:t>Chair: Richard R. Marcus</w:t>
      </w:r>
    </w:p>
    <w:p w:rsidR="00792587" w:rsidRPr="00173BCF" w:rsidRDefault="00792587" w:rsidP="00792587">
      <w:pPr>
        <w:spacing w:after="0" w:line="240" w:lineRule="auto"/>
        <w:rPr>
          <w:rFonts w:asciiTheme="majorHAnsi" w:hAnsiTheme="majorHAnsi"/>
        </w:rPr>
      </w:pPr>
      <w:r w:rsidRPr="00173BCF">
        <w:rPr>
          <w:rFonts w:asciiTheme="majorHAnsi" w:hAnsiTheme="majorHAnsi"/>
        </w:rPr>
        <w:t>Vice-Chair: Laura Portnoi</w:t>
      </w:r>
    </w:p>
    <w:p w:rsidR="00792587" w:rsidRPr="00173BCF" w:rsidRDefault="00792587" w:rsidP="00792587">
      <w:pPr>
        <w:spacing w:after="0" w:line="240" w:lineRule="auto"/>
        <w:rPr>
          <w:rFonts w:asciiTheme="majorHAnsi" w:hAnsiTheme="majorHAnsi"/>
        </w:rPr>
      </w:pPr>
      <w:r w:rsidRPr="00173BCF">
        <w:rPr>
          <w:rFonts w:asciiTheme="majorHAnsi" w:hAnsiTheme="majorHAnsi"/>
        </w:rPr>
        <w:t>Recording Secretary: Leslie Kennedy</w:t>
      </w:r>
    </w:p>
    <w:p w:rsidR="00792587" w:rsidRPr="00173BCF" w:rsidRDefault="00792587" w:rsidP="00792587">
      <w:pPr>
        <w:spacing w:after="0" w:line="240" w:lineRule="auto"/>
        <w:rPr>
          <w:rFonts w:asciiTheme="majorHAnsi" w:hAnsiTheme="majorHAnsi"/>
        </w:rPr>
      </w:pPr>
    </w:p>
    <w:p w:rsidR="00792587" w:rsidRPr="00173BCF" w:rsidRDefault="00792587">
      <w:pPr>
        <w:rPr>
          <w:rFonts w:asciiTheme="majorHAnsi" w:hAnsiTheme="majorHAnsi"/>
          <w:b/>
        </w:rPr>
      </w:pPr>
      <w:r w:rsidRPr="00173BCF">
        <w:rPr>
          <w:rFonts w:asciiTheme="majorHAnsi" w:hAnsiTheme="majorHAnsi"/>
          <w:b/>
        </w:rPr>
        <w:lastRenderedPageBreak/>
        <w:t>INTRODUCTION:</w:t>
      </w:r>
    </w:p>
    <w:p w:rsidR="00792587" w:rsidRPr="00173BCF" w:rsidRDefault="00792587" w:rsidP="00792587">
      <w:pPr>
        <w:spacing w:after="0" w:line="240" w:lineRule="auto"/>
        <w:rPr>
          <w:rFonts w:asciiTheme="majorHAnsi" w:hAnsiTheme="majorHAnsi"/>
        </w:rPr>
      </w:pPr>
      <w:r w:rsidRPr="00173BCF">
        <w:rPr>
          <w:rFonts w:asciiTheme="majorHAnsi" w:hAnsiTheme="majorHAnsi"/>
        </w:rPr>
        <w:t>The International Education Committee (IEC) is an Academic Senate Standing Committee reporting to the Curriculum and Educational Policies Council (CEPC).  Meetings are scheduled for the first Friday of every month 11:30-1:30.  Meetings were held throughout the academic year except for January (winter break), September, and November (discussed below).</w:t>
      </w:r>
    </w:p>
    <w:p w:rsidR="00792587" w:rsidRPr="00173BCF" w:rsidRDefault="00792587" w:rsidP="00792587">
      <w:pPr>
        <w:spacing w:after="0" w:line="240" w:lineRule="auto"/>
        <w:rPr>
          <w:rFonts w:asciiTheme="majorHAnsi" w:hAnsiTheme="majorHAnsi"/>
        </w:rPr>
      </w:pPr>
    </w:p>
    <w:p w:rsidR="00792587" w:rsidRPr="00173BCF" w:rsidRDefault="00792587" w:rsidP="00792587">
      <w:pPr>
        <w:spacing w:after="0" w:line="240" w:lineRule="auto"/>
        <w:rPr>
          <w:rFonts w:asciiTheme="majorHAnsi" w:hAnsiTheme="majorHAnsi"/>
        </w:rPr>
      </w:pPr>
      <w:r w:rsidRPr="00173BCF">
        <w:rPr>
          <w:rFonts w:asciiTheme="majorHAnsi" w:hAnsiTheme="majorHAnsi"/>
          <w:b/>
        </w:rPr>
        <w:t>OVERVIEW OF THE YEAR:</w:t>
      </w:r>
    </w:p>
    <w:p w:rsidR="00792587" w:rsidRPr="00173BCF" w:rsidRDefault="00792587" w:rsidP="00792587">
      <w:pPr>
        <w:spacing w:after="0" w:line="240" w:lineRule="auto"/>
        <w:rPr>
          <w:rFonts w:asciiTheme="majorHAnsi" w:hAnsiTheme="majorHAnsi"/>
        </w:rPr>
      </w:pPr>
    </w:p>
    <w:p w:rsidR="001369CB" w:rsidRPr="00173BCF" w:rsidRDefault="00792587" w:rsidP="00792587">
      <w:pPr>
        <w:spacing w:after="0" w:line="240" w:lineRule="auto"/>
        <w:rPr>
          <w:rFonts w:asciiTheme="majorHAnsi" w:hAnsiTheme="majorHAnsi"/>
        </w:rPr>
      </w:pPr>
      <w:r w:rsidRPr="00173BCF">
        <w:rPr>
          <w:rFonts w:asciiTheme="majorHAnsi" w:hAnsiTheme="majorHAnsi"/>
        </w:rPr>
        <w:t>2010-11 was a year of significant change for the IEC.   The Chair, Richard Marcus, and Vice-Chair, Laura Portnoi, were</w:t>
      </w:r>
      <w:r w:rsidR="00B82A23">
        <w:rPr>
          <w:rFonts w:asciiTheme="majorHAnsi" w:hAnsiTheme="majorHAnsi"/>
        </w:rPr>
        <w:t xml:space="preserve"> elected</w:t>
      </w:r>
      <w:r w:rsidRPr="00173BCF">
        <w:rPr>
          <w:rFonts w:asciiTheme="majorHAnsi" w:hAnsiTheme="majorHAnsi"/>
        </w:rPr>
        <w:t xml:space="preserve">.  There was a recognition by members at the end of the 2009-10 year that the IEC needed to reconsider its mission and charge and they were elected largely with a mandate to do so.  There </w:t>
      </w:r>
      <w:r w:rsidR="00B82A23">
        <w:rPr>
          <w:rFonts w:asciiTheme="majorHAnsi" w:hAnsiTheme="majorHAnsi"/>
        </w:rPr>
        <w:t xml:space="preserve">mandate was given new urgency as there </w:t>
      </w:r>
      <w:r w:rsidRPr="00173BCF">
        <w:rPr>
          <w:rFonts w:asciiTheme="majorHAnsi" w:hAnsiTheme="majorHAnsi"/>
        </w:rPr>
        <w:t xml:space="preserve">was a significant structural shift in International Education administration in the summer of 2010.  The position of Assistant Vice President for International Education and Global Engagement was merged with the position of Dean of CCPE, making Jeet Joshee Dean of CCPE and Associate Vice President of International Education.  The Center for International Education moved under CCPE.  As a direct result of these changes Provost Don Para formed an International Education Task Force to consider innovations in the way CSULB delivers International Education on the CSULB campus.  The composition of the Task Force was to include the major campus stakeholders in International Education.  As such, the Chair of the IEC was a designated member of the Task Force.   The IEC was given a second seat on the Task Force and the membership voted Laura Portnoi into that position.  </w:t>
      </w:r>
      <w:r w:rsidR="001369CB" w:rsidRPr="00173BCF">
        <w:rPr>
          <w:rFonts w:asciiTheme="majorHAnsi" w:hAnsiTheme="majorHAnsi"/>
        </w:rPr>
        <w:t xml:space="preserve">IEC reforms, </w:t>
      </w:r>
      <w:r w:rsidR="00B82A23">
        <w:rPr>
          <w:rFonts w:asciiTheme="majorHAnsi" w:hAnsiTheme="majorHAnsi"/>
        </w:rPr>
        <w:t>first discussed</w:t>
      </w:r>
      <w:r w:rsidR="001369CB" w:rsidRPr="00173BCF">
        <w:rPr>
          <w:rFonts w:asciiTheme="majorHAnsi" w:hAnsiTheme="majorHAnsi"/>
        </w:rPr>
        <w:t xml:space="preserve"> in Spring 2010, were ultimately done following administrative shifts and in coordination with Task Force efforts.  </w:t>
      </w:r>
    </w:p>
    <w:p w:rsidR="001369CB" w:rsidRPr="00173BCF" w:rsidRDefault="001369CB" w:rsidP="00792587">
      <w:pPr>
        <w:spacing w:after="0" w:line="240" w:lineRule="auto"/>
        <w:rPr>
          <w:rFonts w:asciiTheme="majorHAnsi" w:hAnsiTheme="majorHAnsi"/>
        </w:rPr>
      </w:pPr>
    </w:p>
    <w:p w:rsidR="001369CB" w:rsidRPr="00173BCF" w:rsidRDefault="00B82A23" w:rsidP="00792587">
      <w:pPr>
        <w:spacing w:after="0" w:line="240" w:lineRule="auto"/>
        <w:rPr>
          <w:rFonts w:asciiTheme="majorHAnsi" w:hAnsiTheme="majorHAnsi"/>
        </w:rPr>
      </w:pPr>
      <w:r>
        <w:rPr>
          <w:rFonts w:asciiTheme="majorHAnsi" w:hAnsiTheme="majorHAnsi"/>
        </w:rPr>
        <w:t>In an August 2010 meeting, following the administrative shift, t</w:t>
      </w:r>
      <w:r w:rsidR="001369CB" w:rsidRPr="00173BCF">
        <w:rPr>
          <w:rFonts w:asciiTheme="majorHAnsi" w:hAnsiTheme="majorHAnsi"/>
        </w:rPr>
        <w:t xml:space="preserve">he </w:t>
      </w:r>
      <w:r>
        <w:rPr>
          <w:rFonts w:asciiTheme="majorHAnsi" w:hAnsiTheme="majorHAnsi"/>
        </w:rPr>
        <w:t>consensus</w:t>
      </w:r>
      <w:r w:rsidRPr="00173BCF">
        <w:rPr>
          <w:rFonts w:asciiTheme="majorHAnsi" w:hAnsiTheme="majorHAnsi"/>
        </w:rPr>
        <w:t xml:space="preserve"> </w:t>
      </w:r>
      <w:r w:rsidR="001369CB" w:rsidRPr="00173BCF">
        <w:rPr>
          <w:rFonts w:asciiTheme="majorHAnsi" w:hAnsiTheme="majorHAnsi"/>
        </w:rPr>
        <w:t xml:space="preserve">of the IEC Officers and Steering Group </w:t>
      </w:r>
      <w:r w:rsidR="00340C56">
        <w:rPr>
          <w:rFonts w:asciiTheme="majorHAnsi" w:hAnsiTheme="majorHAnsi"/>
        </w:rPr>
        <w:t>was</w:t>
      </w:r>
      <w:r w:rsidR="00340C56" w:rsidRPr="00173BCF">
        <w:rPr>
          <w:rFonts w:asciiTheme="majorHAnsi" w:hAnsiTheme="majorHAnsi"/>
        </w:rPr>
        <w:t xml:space="preserve"> </w:t>
      </w:r>
      <w:r w:rsidR="001369CB" w:rsidRPr="00173BCF">
        <w:rPr>
          <w:rFonts w:asciiTheme="majorHAnsi" w:hAnsiTheme="majorHAnsi"/>
        </w:rPr>
        <w:t xml:space="preserve">that the following areas needed to be addressed within the IEC: the mission and charge, the composition of the membership (both to reduce the unusually large size and to bring it into greater compliment with the new administrative structure), and a reassessment of how the committee undertakes its charge to ensure that the focus is more squarely on issue of shared governance and curricular innovations and less on administration and administrative support.  The magnitude of the workload associated with this led the Chair and Vice Chair to agree, with the support of the Steering Group, to a modification of the modus operandi for meeting organization.  Prior to the start of the Academic  Year members were asked to sign up to serve in one of the following “ad hoc working groups”: </w:t>
      </w:r>
    </w:p>
    <w:p w:rsidR="001369CB" w:rsidRPr="00173BCF" w:rsidRDefault="001369CB" w:rsidP="00792587">
      <w:pPr>
        <w:spacing w:after="0" w:line="240" w:lineRule="auto"/>
        <w:rPr>
          <w:rFonts w:asciiTheme="majorHAnsi" w:hAnsiTheme="majorHAnsi"/>
        </w:rPr>
      </w:pPr>
    </w:p>
    <w:p w:rsidR="001369CB" w:rsidRPr="00173BCF" w:rsidRDefault="001369CB" w:rsidP="001369CB">
      <w:pPr>
        <w:spacing w:after="0" w:line="240" w:lineRule="auto"/>
        <w:rPr>
          <w:rFonts w:asciiTheme="majorHAnsi" w:hAnsiTheme="majorHAnsi"/>
        </w:rPr>
      </w:pPr>
      <w:r w:rsidRPr="00173BCF">
        <w:rPr>
          <w:rFonts w:asciiTheme="majorHAnsi" w:hAnsiTheme="majorHAnsi"/>
        </w:rPr>
        <w:t>•</w:t>
      </w:r>
      <w:r w:rsidRPr="00173BCF">
        <w:rPr>
          <w:rFonts w:asciiTheme="majorHAnsi" w:hAnsiTheme="majorHAnsi"/>
        </w:rPr>
        <w:tab/>
        <w:t>Ad hoc working group for mission statement</w:t>
      </w:r>
    </w:p>
    <w:p w:rsidR="001369CB" w:rsidRPr="00173BCF" w:rsidRDefault="001369CB" w:rsidP="001369CB">
      <w:pPr>
        <w:spacing w:after="0" w:line="240" w:lineRule="auto"/>
        <w:rPr>
          <w:rFonts w:asciiTheme="majorHAnsi" w:hAnsiTheme="majorHAnsi"/>
        </w:rPr>
      </w:pPr>
      <w:r w:rsidRPr="00173BCF">
        <w:rPr>
          <w:rFonts w:asciiTheme="majorHAnsi" w:hAnsiTheme="majorHAnsi"/>
        </w:rPr>
        <w:t>1.</w:t>
      </w:r>
      <w:r w:rsidRPr="00173BCF">
        <w:rPr>
          <w:rFonts w:asciiTheme="majorHAnsi" w:hAnsiTheme="majorHAnsi"/>
        </w:rPr>
        <w:tab/>
        <w:t>Emyr William</w:t>
      </w:r>
      <w:r w:rsidR="00340C56">
        <w:rPr>
          <w:rFonts w:asciiTheme="majorHAnsi" w:hAnsiTheme="majorHAnsi"/>
        </w:rPr>
        <w:t>s</w:t>
      </w:r>
    </w:p>
    <w:p w:rsidR="001369CB" w:rsidRPr="00173BCF" w:rsidRDefault="001369CB" w:rsidP="001369CB">
      <w:pPr>
        <w:spacing w:after="0" w:line="240" w:lineRule="auto"/>
        <w:rPr>
          <w:rFonts w:asciiTheme="majorHAnsi" w:hAnsiTheme="majorHAnsi"/>
        </w:rPr>
      </w:pPr>
      <w:r w:rsidRPr="00173BCF">
        <w:rPr>
          <w:rFonts w:asciiTheme="majorHAnsi" w:hAnsiTheme="majorHAnsi"/>
        </w:rPr>
        <w:t>2.</w:t>
      </w:r>
      <w:r w:rsidRPr="00173BCF">
        <w:rPr>
          <w:rFonts w:asciiTheme="majorHAnsi" w:hAnsiTheme="majorHAnsi"/>
        </w:rPr>
        <w:tab/>
        <w:t>Jose Rivera Chang</w:t>
      </w:r>
    </w:p>
    <w:p w:rsidR="001369CB" w:rsidRPr="00173BCF" w:rsidRDefault="001369CB" w:rsidP="001369CB">
      <w:pPr>
        <w:spacing w:after="0" w:line="240" w:lineRule="auto"/>
        <w:rPr>
          <w:rFonts w:asciiTheme="majorHAnsi" w:hAnsiTheme="majorHAnsi"/>
        </w:rPr>
      </w:pPr>
      <w:r w:rsidRPr="00173BCF">
        <w:rPr>
          <w:rFonts w:asciiTheme="majorHAnsi" w:hAnsiTheme="majorHAnsi"/>
        </w:rPr>
        <w:t>3.</w:t>
      </w:r>
      <w:r w:rsidRPr="00173BCF">
        <w:rPr>
          <w:rFonts w:asciiTheme="majorHAnsi" w:hAnsiTheme="majorHAnsi"/>
        </w:rPr>
        <w:tab/>
        <w:t>Laura Portnoi</w:t>
      </w:r>
      <w:r w:rsidR="00B82A23">
        <w:rPr>
          <w:rFonts w:asciiTheme="majorHAnsi" w:hAnsiTheme="majorHAnsi"/>
        </w:rPr>
        <w:t xml:space="preserve"> (Chair)</w:t>
      </w:r>
    </w:p>
    <w:p w:rsidR="001369CB" w:rsidRPr="00173BCF" w:rsidRDefault="001369CB" w:rsidP="001369CB">
      <w:pPr>
        <w:spacing w:after="0" w:line="240" w:lineRule="auto"/>
        <w:rPr>
          <w:rFonts w:asciiTheme="majorHAnsi" w:hAnsiTheme="majorHAnsi"/>
        </w:rPr>
      </w:pPr>
      <w:r w:rsidRPr="00173BCF">
        <w:rPr>
          <w:rFonts w:asciiTheme="majorHAnsi" w:hAnsiTheme="majorHAnsi"/>
        </w:rPr>
        <w:t>4.</w:t>
      </w:r>
      <w:r w:rsidRPr="00173BCF">
        <w:rPr>
          <w:rFonts w:asciiTheme="majorHAnsi" w:hAnsiTheme="majorHAnsi"/>
        </w:rPr>
        <w:tab/>
        <w:t>Nathan Jensen</w:t>
      </w:r>
    </w:p>
    <w:p w:rsidR="001369CB" w:rsidRPr="00173BCF" w:rsidRDefault="001369CB" w:rsidP="001369CB">
      <w:pPr>
        <w:spacing w:after="0" w:line="240" w:lineRule="auto"/>
        <w:rPr>
          <w:rFonts w:asciiTheme="majorHAnsi" w:hAnsiTheme="majorHAnsi"/>
        </w:rPr>
      </w:pPr>
      <w:r w:rsidRPr="00173BCF">
        <w:rPr>
          <w:rFonts w:asciiTheme="majorHAnsi" w:hAnsiTheme="majorHAnsi"/>
        </w:rPr>
        <w:t>5.</w:t>
      </w:r>
      <w:r w:rsidRPr="00173BCF">
        <w:rPr>
          <w:rFonts w:asciiTheme="majorHAnsi" w:hAnsiTheme="majorHAnsi"/>
        </w:rPr>
        <w:tab/>
        <w:t>Nilufer Medora (non-voting)</w:t>
      </w:r>
    </w:p>
    <w:p w:rsidR="001369CB" w:rsidRPr="00173BCF" w:rsidRDefault="001369CB" w:rsidP="001369CB">
      <w:pPr>
        <w:spacing w:after="0" w:line="240" w:lineRule="auto"/>
        <w:rPr>
          <w:rFonts w:asciiTheme="majorHAnsi" w:hAnsiTheme="majorHAnsi"/>
        </w:rPr>
      </w:pPr>
    </w:p>
    <w:p w:rsidR="001369CB" w:rsidRPr="00173BCF" w:rsidRDefault="001369CB" w:rsidP="001369CB">
      <w:pPr>
        <w:spacing w:after="0" w:line="240" w:lineRule="auto"/>
        <w:rPr>
          <w:rFonts w:asciiTheme="majorHAnsi" w:hAnsiTheme="majorHAnsi"/>
        </w:rPr>
      </w:pPr>
      <w:r w:rsidRPr="00173BCF">
        <w:rPr>
          <w:rFonts w:asciiTheme="majorHAnsi" w:hAnsiTheme="majorHAnsi"/>
        </w:rPr>
        <w:t>•</w:t>
      </w:r>
      <w:r w:rsidRPr="00173BCF">
        <w:rPr>
          <w:rFonts w:asciiTheme="majorHAnsi" w:hAnsiTheme="majorHAnsi"/>
        </w:rPr>
        <w:tab/>
        <w:t>Ad hoc working group for the curricula/collaborations</w:t>
      </w:r>
    </w:p>
    <w:p w:rsidR="001369CB" w:rsidRPr="00173BCF" w:rsidRDefault="001369CB" w:rsidP="001369CB">
      <w:pPr>
        <w:spacing w:after="0" w:line="240" w:lineRule="auto"/>
        <w:rPr>
          <w:rFonts w:asciiTheme="majorHAnsi" w:hAnsiTheme="majorHAnsi"/>
        </w:rPr>
      </w:pPr>
      <w:r w:rsidRPr="00173BCF">
        <w:rPr>
          <w:rFonts w:asciiTheme="majorHAnsi" w:hAnsiTheme="majorHAnsi"/>
        </w:rPr>
        <w:t>1.</w:t>
      </w:r>
      <w:r w:rsidRPr="00173BCF">
        <w:rPr>
          <w:rFonts w:asciiTheme="majorHAnsi" w:hAnsiTheme="majorHAnsi"/>
        </w:rPr>
        <w:tab/>
        <w:t>Antonella Sciortino</w:t>
      </w:r>
    </w:p>
    <w:p w:rsidR="001369CB" w:rsidRPr="00173BCF" w:rsidRDefault="001369CB" w:rsidP="001369CB">
      <w:pPr>
        <w:spacing w:after="0" w:line="240" w:lineRule="auto"/>
        <w:rPr>
          <w:rFonts w:asciiTheme="majorHAnsi" w:hAnsiTheme="majorHAnsi"/>
        </w:rPr>
      </w:pPr>
      <w:r w:rsidRPr="00173BCF">
        <w:rPr>
          <w:rFonts w:asciiTheme="majorHAnsi" w:hAnsiTheme="majorHAnsi"/>
        </w:rPr>
        <w:t>2.</w:t>
      </w:r>
      <w:r w:rsidRPr="00173BCF">
        <w:rPr>
          <w:rFonts w:asciiTheme="majorHAnsi" w:hAnsiTheme="majorHAnsi"/>
        </w:rPr>
        <w:tab/>
        <w:t>Carolyn Lusby</w:t>
      </w:r>
    </w:p>
    <w:p w:rsidR="001369CB" w:rsidRPr="00173BCF" w:rsidRDefault="001369CB" w:rsidP="001369CB">
      <w:pPr>
        <w:spacing w:after="0" w:line="240" w:lineRule="auto"/>
        <w:rPr>
          <w:rFonts w:asciiTheme="majorHAnsi" w:hAnsiTheme="majorHAnsi"/>
        </w:rPr>
      </w:pPr>
      <w:r w:rsidRPr="00173BCF">
        <w:rPr>
          <w:rFonts w:asciiTheme="majorHAnsi" w:hAnsiTheme="majorHAnsi"/>
        </w:rPr>
        <w:t>3.</w:t>
      </w:r>
      <w:r w:rsidRPr="00173BCF">
        <w:rPr>
          <w:rFonts w:asciiTheme="majorHAnsi" w:hAnsiTheme="majorHAnsi"/>
        </w:rPr>
        <w:tab/>
        <w:t>Carlos Silveira</w:t>
      </w:r>
    </w:p>
    <w:p w:rsidR="001369CB" w:rsidRPr="00173BCF" w:rsidRDefault="001369CB" w:rsidP="001369CB">
      <w:pPr>
        <w:spacing w:after="0" w:line="240" w:lineRule="auto"/>
        <w:rPr>
          <w:rFonts w:asciiTheme="majorHAnsi" w:hAnsiTheme="majorHAnsi"/>
        </w:rPr>
      </w:pPr>
      <w:r w:rsidRPr="00173BCF">
        <w:rPr>
          <w:rFonts w:asciiTheme="majorHAnsi" w:hAnsiTheme="majorHAnsi"/>
        </w:rPr>
        <w:t>4.</w:t>
      </w:r>
      <w:r w:rsidRPr="00173BCF">
        <w:rPr>
          <w:rFonts w:asciiTheme="majorHAnsi" w:hAnsiTheme="majorHAnsi"/>
        </w:rPr>
        <w:tab/>
        <w:t>Sharon Olson (non-voting)</w:t>
      </w:r>
      <w:r w:rsidR="00B82A23">
        <w:rPr>
          <w:rFonts w:asciiTheme="majorHAnsi" w:hAnsiTheme="majorHAnsi"/>
        </w:rPr>
        <w:t xml:space="preserve"> (Chair)</w:t>
      </w:r>
    </w:p>
    <w:p w:rsidR="001369CB" w:rsidRPr="00173BCF" w:rsidRDefault="001369CB" w:rsidP="001369CB">
      <w:pPr>
        <w:spacing w:after="0" w:line="240" w:lineRule="auto"/>
        <w:rPr>
          <w:rFonts w:asciiTheme="majorHAnsi" w:hAnsiTheme="majorHAnsi"/>
        </w:rPr>
      </w:pPr>
      <w:r w:rsidRPr="00173BCF">
        <w:rPr>
          <w:rFonts w:asciiTheme="majorHAnsi" w:hAnsiTheme="majorHAnsi"/>
        </w:rPr>
        <w:t>5.</w:t>
      </w:r>
      <w:r w:rsidRPr="00173BCF">
        <w:rPr>
          <w:rFonts w:asciiTheme="majorHAnsi" w:hAnsiTheme="majorHAnsi"/>
        </w:rPr>
        <w:tab/>
        <w:t>Tom Kelty</w:t>
      </w:r>
    </w:p>
    <w:p w:rsidR="001369CB" w:rsidRPr="00173BCF" w:rsidRDefault="001369CB" w:rsidP="001369CB">
      <w:pPr>
        <w:spacing w:after="0" w:line="240" w:lineRule="auto"/>
        <w:rPr>
          <w:rFonts w:asciiTheme="majorHAnsi" w:hAnsiTheme="majorHAnsi"/>
        </w:rPr>
      </w:pPr>
      <w:r w:rsidRPr="00173BCF">
        <w:rPr>
          <w:rFonts w:asciiTheme="majorHAnsi" w:hAnsiTheme="majorHAnsi"/>
        </w:rPr>
        <w:t>6.</w:t>
      </w:r>
      <w:r w:rsidRPr="00173BCF">
        <w:rPr>
          <w:rFonts w:asciiTheme="majorHAnsi" w:hAnsiTheme="majorHAnsi"/>
        </w:rPr>
        <w:tab/>
        <w:t>Leslie Kennedy</w:t>
      </w:r>
    </w:p>
    <w:p w:rsidR="001369CB" w:rsidRPr="00173BCF" w:rsidRDefault="001369CB" w:rsidP="001369CB">
      <w:pPr>
        <w:spacing w:after="0" w:line="240" w:lineRule="auto"/>
        <w:rPr>
          <w:rFonts w:asciiTheme="majorHAnsi" w:hAnsiTheme="majorHAnsi"/>
        </w:rPr>
      </w:pPr>
    </w:p>
    <w:p w:rsidR="001369CB" w:rsidRPr="00173BCF" w:rsidRDefault="001369CB" w:rsidP="001369CB">
      <w:pPr>
        <w:spacing w:after="0" w:line="240" w:lineRule="auto"/>
        <w:rPr>
          <w:rFonts w:asciiTheme="majorHAnsi" w:hAnsiTheme="majorHAnsi"/>
        </w:rPr>
      </w:pPr>
      <w:r w:rsidRPr="00173BCF">
        <w:rPr>
          <w:rFonts w:asciiTheme="majorHAnsi" w:hAnsiTheme="majorHAnsi"/>
        </w:rPr>
        <w:t>•</w:t>
      </w:r>
      <w:r w:rsidRPr="00173BCF">
        <w:rPr>
          <w:rFonts w:asciiTheme="majorHAnsi" w:hAnsiTheme="majorHAnsi"/>
        </w:rPr>
        <w:tab/>
        <w:t xml:space="preserve">Ad hoc working group for international </w:t>
      </w:r>
      <w:r w:rsidR="008B3D01">
        <w:rPr>
          <w:rFonts w:asciiTheme="majorHAnsi" w:hAnsiTheme="majorHAnsi"/>
        </w:rPr>
        <w:t>students</w:t>
      </w:r>
    </w:p>
    <w:p w:rsidR="001369CB" w:rsidRPr="00173BCF" w:rsidRDefault="001369CB" w:rsidP="001369CB">
      <w:pPr>
        <w:spacing w:after="0" w:line="240" w:lineRule="auto"/>
        <w:rPr>
          <w:rFonts w:asciiTheme="majorHAnsi" w:hAnsiTheme="majorHAnsi"/>
        </w:rPr>
      </w:pPr>
      <w:r w:rsidRPr="00173BCF">
        <w:rPr>
          <w:rFonts w:asciiTheme="majorHAnsi" w:hAnsiTheme="majorHAnsi"/>
        </w:rPr>
        <w:t>1.</w:t>
      </w:r>
      <w:r w:rsidRPr="00173BCF">
        <w:rPr>
          <w:rFonts w:asciiTheme="majorHAnsi" w:hAnsiTheme="majorHAnsi"/>
        </w:rPr>
        <w:tab/>
        <w:t>Eileen Bosch</w:t>
      </w:r>
    </w:p>
    <w:p w:rsidR="001369CB" w:rsidRPr="00173BCF" w:rsidRDefault="001369CB" w:rsidP="001369CB">
      <w:pPr>
        <w:spacing w:after="0" w:line="240" w:lineRule="auto"/>
        <w:rPr>
          <w:rFonts w:asciiTheme="majorHAnsi" w:hAnsiTheme="majorHAnsi"/>
        </w:rPr>
      </w:pPr>
      <w:r w:rsidRPr="00173BCF">
        <w:rPr>
          <w:rFonts w:asciiTheme="majorHAnsi" w:hAnsiTheme="majorHAnsi"/>
        </w:rPr>
        <w:t>2.</w:t>
      </w:r>
      <w:r w:rsidRPr="00173BCF">
        <w:rPr>
          <w:rFonts w:asciiTheme="majorHAnsi" w:hAnsiTheme="majorHAnsi"/>
        </w:rPr>
        <w:tab/>
        <w:t>Robin Lee</w:t>
      </w:r>
      <w:r w:rsidR="00B82A23">
        <w:rPr>
          <w:rFonts w:asciiTheme="majorHAnsi" w:hAnsiTheme="majorHAnsi"/>
        </w:rPr>
        <w:t xml:space="preserve"> (Chair)</w:t>
      </w:r>
    </w:p>
    <w:p w:rsidR="001369CB" w:rsidRPr="00173BCF" w:rsidRDefault="001369CB" w:rsidP="001369CB">
      <w:pPr>
        <w:spacing w:after="0" w:line="240" w:lineRule="auto"/>
        <w:rPr>
          <w:rFonts w:asciiTheme="majorHAnsi" w:hAnsiTheme="majorHAnsi"/>
        </w:rPr>
      </w:pPr>
      <w:r w:rsidRPr="00173BCF">
        <w:rPr>
          <w:rFonts w:asciiTheme="majorHAnsi" w:hAnsiTheme="majorHAnsi"/>
        </w:rPr>
        <w:t>3.</w:t>
      </w:r>
      <w:r w:rsidRPr="00173BCF">
        <w:rPr>
          <w:rFonts w:asciiTheme="majorHAnsi" w:hAnsiTheme="majorHAnsi"/>
        </w:rPr>
        <w:tab/>
        <w:t>Nora Serrano</w:t>
      </w:r>
    </w:p>
    <w:p w:rsidR="001369CB" w:rsidRPr="00173BCF" w:rsidRDefault="001369CB" w:rsidP="001369CB">
      <w:pPr>
        <w:spacing w:after="0" w:line="240" w:lineRule="auto"/>
        <w:rPr>
          <w:rFonts w:asciiTheme="majorHAnsi" w:hAnsiTheme="majorHAnsi"/>
        </w:rPr>
      </w:pPr>
      <w:r w:rsidRPr="00173BCF">
        <w:rPr>
          <w:rFonts w:asciiTheme="majorHAnsi" w:hAnsiTheme="majorHAnsi"/>
        </w:rPr>
        <w:t>4.</w:t>
      </w:r>
      <w:r w:rsidRPr="00173BCF">
        <w:rPr>
          <w:rFonts w:asciiTheme="majorHAnsi" w:hAnsiTheme="majorHAnsi"/>
        </w:rPr>
        <w:tab/>
        <w:t>Rebecca Groff</w:t>
      </w:r>
    </w:p>
    <w:p w:rsidR="001369CB" w:rsidRPr="00173BCF" w:rsidRDefault="001369CB" w:rsidP="001369CB">
      <w:pPr>
        <w:spacing w:after="0" w:line="240" w:lineRule="auto"/>
        <w:rPr>
          <w:rFonts w:asciiTheme="majorHAnsi" w:hAnsiTheme="majorHAnsi"/>
        </w:rPr>
      </w:pPr>
    </w:p>
    <w:p w:rsidR="001369CB" w:rsidRPr="00173BCF" w:rsidRDefault="001369CB" w:rsidP="001369CB">
      <w:pPr>
        <w:spacing w:after="0" w:line="240" w:lineRule="auto"/>
        <w:rPr>
          <w:rFonts w:asciiTheme="majorHAnsi" w:hAnsiTheme="majorHAnsi"/>
        </w:rPr>
      </w:pPr>
      <w:r w:rsidRPr="00173BCF">
        <w:rPr>
          <w:rFonts w:asciiTheme="majorHAnsi" w:hAnsiTheme="majorHAnsi"/>
        </w:rPr>
        <w:t>•</w:t>
      </w:r>
      <w:r w:rsidRPr="00173BCF">
        <w:rPr>
          <w:rFonts w:asciiTheme="majorHAnsi" w:hAnsiTheme="majorHAnsi"/>
        </w:rPr>
        <w:tab/>
        <w:t xml:space="preserve">Ad hoc working group for grants </w:t>
      </w:r>
    </w:p>
    <w:p w:rsidR="001369CB" w:rsidRPr="00173BCF" w:rsidRDefault="001369CB" w:rsidP="001369CB">
      <w:pPr>
        <w:spacing w:after="0" w:line="240" w:lineRule="auto"/>
        <w:rPr>
          <w:rFonts w:asciiTheme="majorHAnsi" w:hAnsiTheme="majorHAnsi"/>
        </w:rPr>
      </w:pPr>
      <w:r w:rsidRPr="00173BCF">
        <w:rPr>
          <w:rFonts w:asciiTheme="majorHAnsi" w:hAnsiTheme="majorHAnsi"/>
        </w:rPr>
        <w:t>1.</w:t>
      </w:r>
      <w:r w:rsidRPr="00173BCF">
        <w:rPr>
          <w:rFonts w:asciiTheme="majorHAnsi" w:hAnsiTheme="majorHAnsi"/>
        </w:rPr>
        <w:tab/>
        <w:t>Shuhua An</w:t>
      </w:r>
    </w:p>
    <w:p w:rsidR="001369CB" w:rsidRPr="00173BCF" w:rsidRDefault="001369CB" w:rsidP="001369CB">
      <w:pPr>
        <w:spacing w:after="0" w:line="240" w:lineRule="auto"/>
        <w:rPr>
          <w:rFonts w:asciiTheme="majorHAnsi" w:hAnsiTheme="majorHAnsi"/>
        </w:rPr>
      </w:pPr>
      <w:r w:rsidRPr="00173BCF">
        <w:rPr>
          <w:rFonts w:asciiTheme="majorHAnsi" w:hAnsiTheme="majorHAnsi"/>
        </w:rPr>
        <w:t>2.</w:t>
      </w:r>
      <w:r w:rsidRPr="00173BCF">
        <w:rPr>
          <w:rFonts w:asciiTheme="majorHAnsi" w:hAnsiTheme="majorHAnsi"/>
        </w:rPr>
        <w:tab/>
        <w:t>David Anglin</w:t>
      </w:r>
    </w:p>
    <w:p w:rsidR="001369CB" w:rsidRPr="00173BCF" w:rsidRDefault="001369CB" w:rsidP="001369CB">
      <w:pPr>
        <w:spacing w:after="0" w:line="240" w:lineRule="auto"/>
        <w:rPr>
          <w:rFonts w:asciiTheme="majorHAnsi" w:hAnsiTheme="majorHAnsi"/>
        </w:rPr>
      </w:pPr>
      <w:r w:rsidRPr="00173BCF">
        <w:rPr>
          <w:rFonts w:asciiTheme="majorHAnsi" w:hAnsiTheme="majorHAnsi"/>
        </w:rPr>
        <w:t>3.</w:t>
      </w:r>
      <w:r w:rsidRPr="00173BCF">
        <w:rPr>
          <w:rFonts w:asciiTheme="majorHAnsi" w:hAnsiTheme="majorHAnsi"/>
        </w:rPr>
        <w:tab/>
        <w:t>Teresa Hagen-Crowder</w:t>
      </w:r>
    </w:p>
    <w:p w:rsidR="001369CB" w:rsidRPr="00173BCF" w:rsidRDefault="001369CB" w:rsidP="001369CB">
      <w:pPr>
        <w:spacing w:after="0" w:line="240" w:lineRule="auto"/>
        <w:rPr>
          <w:rFonts w:asciiTheme="majorHAnsi" w:hAnsiTheme="majorHAnsi"/>
        </w:rPr>
      </w:pPr>
      <w:r w:rsidRPr="00173BCF">
        <w:rPr>
          <w:rFonts w:asciiTheme="majorHAnsi" w:hAnsiTheme="majorHAnsi"/>
        </w:rPr>
        <w:t>4.</w:t>
      </w:r>
      <w:r w:rsidRPr="00173BCF">
        <w:rPr>
          <w:rFonts w:asciiTheme="majorHAnsi" w:hAnsiTheme="majorHAnsi"/>
        </w:rPr>
        <w:tab/>
        <w:t>Heloiza Herscovitz</w:t>
      </w:r>
    </w:p>
    <w:p w:rsidR="001369CB" w:rsidRPr="00173BCF" w:rsidRDefault="001369CB" w:rsidP="001369CB">
      <w:pPr>
        <w:spacing w:after="0" w:line="240" w:lineRule="auto"/>
        <w:rPr>
          <w:rFonts w:asciiTheme="majorHAnsi" w:hAnsiTheme="majorHAnsi"/>
        </w:rPr>
      </w:pPr>
      <w:r w:rsidRPr="00173BCF">
        <w:rPr>
          <w:rFonts w:asciiTheme="majorHAnsi" w:hAnsiTheme="majorHAnsi"/>
        </w:rPr>
        <w:t>5.</w:t>
      </w:r>
      <w:r w:rsidRPr="00173BCF">
        <w:rPr>
          <w:rFonts w:asciiTheme="majorHAnsi" w:hAnsiTheme="majorHAnsi"/>
        </w:rPr>
        <w:tab/>
        <w:t>Shadi Saadeh</w:t>
      </w:r>
      <w:r w:rsidR="00B82A23">
        <w:rPr>
          <w:rFonts w:asciiTheme="majorHAnsi" w:hAnsiTheme="majorHAnsi"/>
        </w:rPr>
        <w:t xml:space="preserve"> (Chair)</w:t>
      </w:r>
    </w:p>
    <w:p w:rsidR="001369CB" w:rsidRPr="00173BCF" w:rsidRDefault="001369CB" w:rsidP="001369CB">
      <w:pPr>
        <w:spacing w:after="0" w:line="240" w:lineRule="auto"/>
        <w:rPr>
          <w:rFonts w:asciiTheme="majorHAnsi" w:hAnsiTheme="majorHAnsi"/>
        </w:rPr>
      </w:pPr>
      <w:r w:rsidRPr="00173BCF">
        <w:rPr>
          <w:rFonts w:asciiTheme="majorHAnsi" w:hAnsiTheme="majorHAnsi"/>
        </w:rPr>
        <w:t>6.</w:t>
      </w:r>
      <w:r w:rsidRPr="00173BCF">
        <w:rPr>
          <w:rFonts w:asciiTheme="majorHAnsi" w:hAnsiTheme="majorHAnsi"/>
        </w:rPr>
        <w:tab/>
        <w:t>Mark Washburn</w:t>
      </w:r>
    </w:p>
    <w:p w:rsidR="001369CB" w:rsidRPr="00173BCF" w:rsidRDefault="001369CB" w:rsidP="001369CB">
      <w:pPr>
        <w:spacing w:after="0" w:line="240" w:lineRule="auto"/>
        <w:rPr>
          <w:rFonts w:asciiTheme="majorHAnsi" w:hAnsiTheme="majorHAnsi"/>
        </w:rPr>
      </w:pPr>
    </w:p>
    <w:p w:rsidR="001369CB" w:rsidRPr="00173BCF" w:rsidRDefault="001369CB" w:rsidP="001369CB">
      <w:pPr>
        <w:spacing w:after="0" w:line="240" w:lineRule="auto"/>
        <w:rPr>
          <w:rFonts w:asciiTheme="majorHAnsi" w:hAnsiTheme="majorHAnsi"/>
        </w:rPr>
      </w:pPr>
      <w:r w:rsidRPr="00173BCF">
        <w:rPr>
          <w:rFonts w:asciiTheme="majorHAnsi" w:hAnsiTheme="majorHAnsi"/>
        </w:rPr>
        <w:t>•</w:t>
      </w:r>
      <w:r w:rsidRPr="00173BCF">
        <w:rPr>
          <w:rFonts w:asciiTheme="majorHAnsi" w:hAnsiTheme="majorHAnsi"/>
        </w:rPr>
        <w:tab/>
        <w:t xml:space="preserve">Ad hoc working group for development </w:t>
      </w:r>
    </w:p>
    <w:p w:rsidR="001369CB" w:rsidRPr="00173BCF" w:rsidRDefault="001369CB" w:rsidP="001369CB">
      <w:pPr>
        <w:spacing w:after="0" w:line="240" w:lineRule="auto"/>
        <w:rPr>
          <w:rFonts w:asciiTheme="majorHAnsi" w:hAnsiTheme="majorHAnsi"/>
        </w:rPr>
      </w:pPr>
      <w:r w:rsidRPr="00173BCF">
        <w:rPr>
          <w:rFonts w:asciiTheme="majorHAnsi" w:hAnsiTheme="majorHAnsi"/>
        </w:rPr>
        <w:t>1.</w:t>
      </w:r>
      <w:r w:rsidRPr="00173BCF">
        <w:rPr>
          <w:rFonts w:asciiTheme="majorHAnsi" w:hAnsiTheme="majorHAnsi"/>
        </w:rPr>
        <w:tab/>
        <w:t>Elaine Haglund (non-voting)</w:t>
      </w:r>
    </w:p>
    <w:p w:rsidR="001369CB" w:rsidRPr="00173BCF" w:rsidRDefault="001369CB" w:rsidP="001369CB">
      <w:pPr>
        <w:spacing w:after="0" w:line="240" w:lineRule="auto"/>
        <w:rPr>
          <w:rFonts w:asciiTheme="majorHAnsi" w:hAnsiTheme="majorHAnsi"/>
        </w:rPr>
      </w:pPr>
      <w:r w:rsidRPr="00173BCF">
        <w:rPr>
          <w:rFonts w:asciiTheme="majorHAnsi" w:hAnsiTheme="majorHAnsi"/>
        </w:rPr>
        <w:t>2.</w:t>
      </w:r>
      <w:r w:rsidRPr="00173BCF">
        <w:rPr>
          <w:rFonts w:asciiTheme="majorHAnsi" w:hAnsiTheme="majorHAnsi"/>
        </w:rPr>
        <w:tab/>
        <w:t>Richard Marcus</w:t>
      </w:r>
    </w:p>
    <w:p w:rsidR="001369CB" w:rsidRPr="00173BCF" w:rsidRDefault="001369CB" w:rsidP="001369CB">
      <w:pPr>
        <w:spacing w:after="0" w:line="240" w:lineRule="auto"/>
        <w:rPr>
          <w:rFonts w:asciiTheme="majorHAnsi" w:hAnsiTheme="majorHAnsi"/>
        </w:rPr>
      </w:pPr>
      <w:r w:rsidRPr="00173BCF">
        <w:rPr>
          <w:rFonts w:asciiTheme="majorHAnsi" w:hAnsiTheme="majorHAnsi"/>
        </w:rPr>
        <w:t>3.</w:t>
      </w:r>
      <w:r w:rsidRPr="00173BCF">
        <w:rPr>
          <w:rFonts w:asciiTheme="majorHAnsi" w:hAnsiTheme="majorHAnsi"/>
        </w:rPr>
        <w:tab/>
        <w:t>Armando Vazquez-Ramos</w:t>
      </w:r>
      <w:r w:rsidR="00B82A23">
        <w:rPr>
          <w:rFonts w:asciiTheme="majorHAnsi" w:hAnsiTheme="majorHAnsi"/>
        </w:rPr>
        <w:t xml:space="preserve"> (Chair)</w:t>
      </w:r>
    </w:p>
    <w:p w:rsidR="001369CB" w:rsidRPr="00173BCF" w:rsidRDefault="001369CB" w:rsidP="001369CB">
      <w:pPr>
        <w:spacing w:after="0" w:line="240" w:lineRule="auto"/>
        <w:rPr>
          <w:rFonts w:asciiTheme="majorHAnsi" w:hAnsiTheme="majorHAnsi"/>
        </w:rPr>
      </w:pPr>
      <w:r w:rsidRPr="00173BCF">
        <w:rPr>
          <w:rFonts w:asciiTheme="majorHAnsi" w:hAnsiTheme="majorHAnsi"/>
        </w:rPr>
        <w:t>4.</w:t>
      </w:r>
      <w:r w:rsidRPr="00173BCF">
        <w:rPr>
          <w:rFonts w:asciiTheme="majorHAnsi" w:hAnsiTheme="majorHAnsi"/>
        </w:rPr>
        <w:tab/>
        <w:t>Vlatka Velcic</w:t>
      </w:r>
    </w:p>
    <w:p w:rsidR="001369CB" w:rsidRPr="00173BCF" w:rsidRDefault="001369CB" w:rsidP="00792587">
      <w:pPr>
        <w:spacing w:after="0" w:line="240" w:lineRule="auto"/>
        <w:rPr>
          <w:rFonts w:asciiTheme="majorHAnsi" w:hAnsiTheme="majorHAnsi"/>
        </w:rPr>
      </w:pPr>
    </w:p>
    <w:p w:rsidR="001369CB" w:rsidRPr="00173BCF" w:rsidRDefault="001369CB" w:rsidP="00792587">
      <w:pPr>
        <w:spacing w:after="0" w:line="240" w:lineRule="auto"/>
        <w:rPr>
          <w:rFonts w:asciiTheme="majorHAnsi" w:hAnsiTheme="majorHAnsi"/>
        </w:rPr>
      </w:pPr>
      <w:r w:rsidRPr="00173BCF">
        <w:rPr>
          <w:rFonts w:asciiTheme="majorHAnsi" w:hAnsiTheme="majorHAnsi"/>
        </w:rPr>
        <w:t>In order to give appropriate time for the working groups to form their own mission and action plans</w:t>
      </w:r>
      <w:r w:rsidR="00B82A23">
        <w:rPr>
          <w:rFonts w:asciiTheme="majorHAnsi" w:hAnsiTheme="majorHAnsi"/>
        </w:rPr>
        <w:t xml:space="preserve"> and begin carrying them out,</w:t>
      </w:r>
      <w:r w:rsidRPr="00173BCF">
        <w:rPr>
          <w:rFonts w:asciiTheme="majorHAnsi" w:hAnsiTheme="majorHAnsi"/>
        </w:rPr>
        <w:t xml:space="preserve"> the general meeting of the IEC was suspended for September and November 2010.  The members met during th</w:t>
      </w:r>
      <w:r w:rsidR="00340C56">
        <w:rPr>
          <w:rFonts w:asciiTheme="majorHAnsi" w:hAnsiTheme="majorHAnsi"/>
        </w:rPr>
        <w:t xml:space="preserve">e regular IEC meeting time </w:t>
      </w:r>
      <w:r w:rsidRPr="00173BCF">
        <w:rPr>
          <w:rFonts w:asciiTheme="majorHAnsi" w:hAnsiTheme="majorHAnsi"/>
        </w:rPr>
        <w:t xml:space="preserve">in their working groups instead.  </w:t>
      </w:r>
    </w:p>
    <w:p w:rsidR="001369CB" w:rsidRPr="00173BCF" w:rsidRDefault="001369CB" w:rsidP="00792587">
      <w:pPr>
        <w:spacing w:after="0" w:line="240" w:lineRule="auto"/>
        <w:rPr>
          <w:rFonts w:asciiTheme="majorHAnsi" w:hAnsiTheme="majorHAnsi"/>
        </w:rPr>
      </w:pPr>
    </w:p>
    <w:p w:rsidR="00173BCF" w:rsidRDefault="001369CB" w:rsidP="00792587">
      <w:pPr>
        <w:spacing w:after="0" w:line="240" w:lineRule="auto"/>
        <w:rPr>
          <w:rFonts w:asciiTheme="majorHAnsi" w:hAnsiTheme="majorHAnsi"/>
        </w:rPr>
      </w:pPr>
      <w:r w:rsidRPr="00173BCF">
        <w:rPr>
          <w:rFonts w:asciiTheme="majorHAnsi" w:hAnsiTheme="majorHAnsi"/>
        </w:rPr>
        <w:t>The most challenging of these efforts was of course the revision of the mission and charge.  The working group conducted a member survey.  This survey brought out key issues to address</w:t>
      </w:r>
      <w:r w:rsidR="00B82A23">
        <w:rPr>
          <w:rFonts w:asciiTheme="majorHAnsi" w:hAnsiTheme="majorHAnsi"/>
        </w:rPr>
        <w:t>.  The working group then asked the I</w:t>
      </w:r>
      <w:r w:rsidRPr="00173BCF">
        <w:rPr>
          <w:rFonts w:asciiTheme="majorHAnsi" w:hAnsiTheme="majorHAnsi"/>
        </w:rPr>
        <w:t xml:space="preserve">EC Chair, Richard Marcus, and Vice-Chair, Laura Portnoi, to </w:t>
      </w:r>
      <w:r w:rsidR="00173BCF" w:rsidRPr="00173BCF">
        <w:rPr>
          <w:rFonts w:asciiTheme="majorHAnsi" w:hAnsiTheme="majorHAnsi"/>
        </w:rPr>
        <w:t xml:space="preserve">propose language for the changes.  The IEC </w:t>
      </w:r>
      <w:r w:rsidR="00F5200A">
        <w:rPr>
          <w:rFonts w:asciiTheme="majorHAnsi" w:hAnsiTheme="majorHAnsi"/>
        </w:rPr>
        <w:t>members</w:t>
      </w:r>
      <w:r w:rsidR="00173BCF" w:rsidRPr="00173BCF">
        <w:rPr>
          <w:rFonts w:asciiTheme="majorHAnsi" w:hAnsiTheme="majorHAnsi"/>
        </w:rPr>
        <w:t xml:space="preserve"> voted unanimously in support of this at the December meeting.  Over winter break the chair and vice chair came up with a bulleted framework for changes.  This was approved unanimously by vote of the full IEC at the February meeting.   The chair and vice-chair took this framework to the Task Force to ensure efforts were complimentary with other International Education efforts on campus.  Having received that support, they introduced specific language, sent it to the working group for modifications, and then to the IEC as a whole for the March meeting.  The mission and charge proposed </w:t>
      </w:r>
      <w:r w:rsidR="00173BCF">
        <w:rPr>
          <w:rFonts w:asciiTheme="majorHAnsi" w:hAnsiTheme="majorHAnsi"/>
        </w:rPr>
        <w:t>(with change in membership) was</w:t>
      </w:r>
      <w:r w:rsidR="00173BCF" w:rsidRPr="00173BCF">
        <w:rPr>
          <w:rFonts w:asciiTheme="majorHAnsi" w:hAnsiTheme="majorHAnsi"/>
        </w:rPr>
        <w:t xml:space="preserve"> as follows:</w:t>
      </w:r>
    </w:p>
    <w:p w:rsidR="00173BCF" w:rsidRPr="00173BCF" w:rsidRDefault="00173BCF" w:rsidP="00792587">
      <w:pPr>
        <w:spacing w:after="0" w:line="240" w:lineRule="auto"/>
        <w:rPr>
          <w:rFonts w:asciiTheme="majorHAnsi" w:hAnsiTheme="majorHAnsi"/>
        </w:rPr>
      </w:pPr>
    </w:p>
    <w:p w:rsidR="00173BCF" w:rsidRDefault="008B462F" w:rsidP="00173BCF">
      <w:pPr>
        <w:pStyle w:val="NormalWeb"/>
        <w:spacing w:before="2" w:afterLines="0"/>
        <w:rPr>
          <w:rStyle w:val="Strong"/>
          <w:rFonts w:ascii="Calibri" w:eastAsia="Calibri" w:hAnsi="Calibri"/>
          <w:sz w:val="22"/>
          <w:szCs w:val="22"/>
        </w:rPr>
      </w:pPr>
      <w:r w:rsidRPr="008B462F">
        <w:rPr>
          <w:rFonts w:asciiTheme="majorHAnsi" w:hAnsiTheme="majorHAnsi"/>
          <w:b/>
          <w:noProof/>
          <w:sz w:val="22"/>
          <w:szCs w:val="24"/>
        </w:rPr>
        <w:pict>
          <v:shapetype id="_x0000_t202" coordsize="21600,21600" o:spt="202" path="m,l,21600r21600,l21600,xe">
            <v:stroke joinstyle="miter"/>
            <v:path gradientshapeok="t" o:connecttype="rect"/>
          </v:shapetype>
          <v:shape id="_x0000_s1027" type="#_x0000_t202" style="position:absolute;margin-left:-18pt;margin-top:-36pt;width:522pt;height:666pt;z-index:251659264;mso-wrap-edited:f;mso-position-horizontal:absolute;mso-position-vertical:absolute" wrapcoords="0 0 21600 0 21600 21600 0 21600 0 0" fillcolor="#d8d8d8 [2732]" stroked="f">
            <v:fill o:detectmouseclick="t"/>
            <v:textbox inset=",7.2pt,,7.2pt">
              <w:txbxContent>
                <w:p w:rsidR="00B0549D" w:rsidRPr="00173BCF" w:rsidRDefault="00B0549D" w:rsidP="00173BCF">
                  <w:pPr>
                    <w:pStyle w:val="NormalWeb"/>
                    <w:spacing w:before="2" w:afterLines="0"/>
                    <w:rPr>
                      <w:rFonts w:asciiTheme="majorHAnsi" w:hAnsiTheme="majorHAnsi"/>
                      <w:sz w:val="22"/>
                    </w:rPr>
                  </w:pPr>
                  <w:r w:rsidRPr="00173BCF">
                    <w:rPr>
                      <w:rStyle w:val="Strong"/>
                      <w:rFonts w:asciiTheme="majorHAnsi" w:hAnsiTheme="majorHAnsi"/>
                      <w:sz w:val="22"/>
                      <w:szCs w:val="24"/>
                    </w:rPr>
                    <w:t>Mission</w:t>
                  </w:r>
                </w:p>
                <w:p w:rsidR="00B0549D" w:rsidRPr="00173BCF" w:rsidRDefault="00B0549D" w:rsidP="00173BCF">
                  <w:pPr>
                    <w:widowControl w:val="0"/>
                    <w:autoSpaceDE w:val="0"/>
                    <w:autoSpaceDN w:val="0"/>
                    <w:adjustRightInd w:val="0"/>
                    <w:rPr>
                      <w:rFonts w:asciiTheme="majorHAnsi" w:hAnsiTheme="majorHAnsi" w:cs="Times"/>
                      <w:iCs/>
                      <w:szCs w:val="24"/>
                    </w:rPr>
                  </w:pPr>
                  <w:r w:rsidRPr="00173BCF">
                    <w:rPr>
                      <w:rFonts w:asciiTheme="majorHAnsi" w:hAnsiTheme="majorHAnsi" w:cs="Times"/>
                      <w:iCs/>
                      <w:szCs w:val="24"/>
                    </w:rPr>
                    <w:t xml:space="preserve">The International Education Committee (IEC) strives to develop and sustain a comprehensive international ethos throughout the </w:t>
                  </w:r>
                  <w:r w:rsidRPr="00173BCF">
                    <w:rPr>
                      <w:rFonts w:asciiTheme="majorHAnsi" w:hAnsiTheme="majorHAnsi"/>
                      <w:szCs w:val="24"/>
                    </w:rPr>
                    <w:t xml:space="preserve">California State University, Long Beach (CSULB) </w:t>
                  </w:r>
                  <w:r w:rsidRPr="00173BCF">
                    <w:rPr>
                      <w:rFonts w:asciiTheme="majorHAnsi" w:hAnsiTheme="majorHAnsi" w:cs="Times"/>
                      <w:iCs/>
                      <w:szCs w:val="24"/>
                    </w:rPr>
                    <w:t xml:space="preserve">campus community. </w:t>
                  </w:r>
                  <w:r w:rsidRPr="00173BCF">
                    <w:rPr>
                      <w:rFonts w:asciiTheme="majorHAnsi" w:hAnsiTheme="majorHAnsi"/>
                      <w:szCs w:val="24"/>
                    </w:rPr>
                    <w:t xml:space="preserve">The IEC promotes global literacy at CSULB by fostering the internationalization of curricula and encouraging international experiences among faculty, staff, and students. </w:t>
                  </w:r>
                </w:p>
                <w:p w:rsidR="00B0549D" w:rsidRPr="00173BCF" w:rsidRDefault="00B0549D" w:rsidP="00173BCF">
                  <w:pPr>
                    <w:pStyle w:val="NormalWeb"/>
                    <w:spacing w:before="2" w:afterLines="0"/>
                    <w:rPr>
                      <w:rFonts w:asciiTheme="majorHAnsi" w:hAnsiTheme="majorHAnsi"/>
                      <w:sz w:val="22"/>
                    </w:rPr>
                  </w:pPr>
                  <w:r w:rsidRPr="00173BCF">
                    <w:rPr>
                      <w:rFonts w:asciiTheme="majorHAnsi" w:hAnsiTheme="majorHAnsi"/>
                      <w:sz w:val="22"/>
                    </w:rPr>
                    <w:t> </w:t>
                  </w:r>
                </w:p>
                <w:p w:rsidR="00B0549D" w:rsidRPr="00173BCF" w:rsidRDefault="00B0549D" w:rsidP="00173BCF">
                  <w:pPr>
                    <w:pStyle w:val="NormalWeb"/>
                    <w:spacing w:beforeLines="0" w:afterLines="0"/>
                    <w:rPr>
                      <w:rFonts w:asciiTheme="majorHAnsi" w:hAnsiTheme="majorHAnsi"/>
                      <w:b/>
                      <w:sz w:val="22"/>
                      <w:szCs w:val="24"/>
                    </w:rPr>
                  </w:pPr>
                  <w:r w:rsidRPr="00173BCF">
                    <w:rPr>
                      <w:rStyle w:val="Strong"/>
                      <w:rFonts w:asciiTheme="majorHAnsi" w:hAnsiTheme="majorHAnsi"/>
                      <w:sz w:val="22"/>
                      <w:szCs w:val="24"/>
                    </w:rPr>
                    <w:t>Charge</w:t>
                  </w:r>
                </w:p>
                <w:p w:rsidR="00B0549D" w:rsidRPr="00173BCF" w:rsidRDefault="00B0549D" w:rsidP="00173BCF">
                  <w:pPr>
                    <w:pStyle w:val="NormalWeb"/>
                    <w:spacing w:beforeLines="0" w:after="2"/>
                    <w:rPr>
                      <w:rFonts w:asciiTheme="majorHAnsi" w:hAnsiTheme="majorHAnsi"/>
                      <w:sz w:val="22"/>
                      <w:szCs w:val="24"/>
                    </w:rPr>
                  </w:pPr>
                  <w:r w:rsidRPr="00173BCF">
                    <w:rPr>
                      <w:rFonts w:asciiTheme="majorHAnsi" w:hAnsiTheme="majorHAnsi"/>
                      <w:sz w:val="22"/>
                      <w:szCs w:val="24"/>
                    </w:rPr>
                    <w:t>The duties of the International Education Committee shall include, but not be limited to, the following:</w:t>
                  </w:r>
                </w:p>
                <w:p w:rsidR="00B0549D" w:rsidRPr="00173BCF" w:rsidRDefault="00B0549D" w:rsidP="00173BCF">
                  <w:pPr>
                    <w:pStyle w:val="NormalWeb"/>
                    <w:spacing w:beforeLines="0" w:after="2"/>
                    <w:rPr>
                      <w:rFonts w:asciiTheme="majorHAnsi" w:hAnsiTheme="majorHAnsi"/>
                      <w:sz w:val="22"/>
                      <w:szCs w:val="24"/>
                    </w:rPr>
                  </w:pPr>
                </w:p>
                <w:p w:rsidR="00B0549D" w:rsidRPr="00173BCF" w:rsidRDefault="00B0549D" w:rsidP="00173BCF">
                  <w:pPr>
                    <w:pStyle w:val="NormalWeb"/>
                    <w:numPr>
                      <w:ilvl w:val="0"/>
                      <w:numId w:val="2"/>
                    </w:numPr>
                    <w:spacing w:beforeLines="0" w:after="2"/>
                    <w:rPr>
                      <w:rFonts w:asciiTheme="majorHAnsi" w:hAnsiTheme="majorHAnsi"/>
                      <w:sz w:val="22"/>
                      <w:szCs w:val="24"/>
                    </w:rPr>
                  </w:pPr>
                  <w:r w:rsidRPr="00173BCF">
                    <w:rPr>
                      <w:rFonts w:asciiTheme="majorHAnsi" w:hAnsiTheme="majorHAnsi"/>
                      <w:sz w:val="22"/>
                      <w:szCs w:val="24"/>
                    </w:rPr>
                    <w:t xml:space="preserve">Promoting a collaborative effort toward a “globally engaged campus community” as stated in the </w:t>
                  </w:r>
                  <w:hyperlink r:id="rId9" w:history="1">
                    <w:r w:rsidRPr="00173BCF">
                      <w:rPr>
                        <w:rStyle w:val="Hyperlink"/>
                        <w:rFonts w:asciiTheme="majorHAnsi" w:hAnsiTheme="majorHAnsi"/>
                        <w:sz w:val="22"/>
                        <w:szCs w:val="24"/>
                      </w:rPr>
                      <w:t>CSULB Mission Statement</w:t>
                    </w:r>
                  </w:hyperlink>
                  <w:r w:rsidRPr="00173BCF">
                    <w:rPr>
                      <w:rFonts w:asciiTheme="majorHAnsi" w:hAnsiTheme="majorHAnsi"/>
                      <w:sz w:val="22"/>
                      <w:szCs w:val="24"/>
                    </w:rPr>
                    <w:t>;</w:t>
                  </w:r>
                </w:p>
                <w:p w:rsidR="00B0549D" w:rsidRPr="00173BCF" w:rsidRDefault="00B0549D" w:rsidP="00173BCF">
                  <w:pPr>
                    <w:pStyle w:val="NormalWeb"/>
                    <w:numPr>
                      <w:ilvl w:val="0"/>
                      <w:numId w:val="2"/>
                    </w:numPr>
                    <w:spacing w:beforeLines="0" w:after="2"/>
                    <w:rPr>
                      <w:rFonts w:asciiTheme="majorHAnsi" w:hAnsiTheme="majorHAnsi"/>
                      <w:sz w:val="22"/>
                      <w:szCs w:val="24"/>
                    </w:rPr>
                  </w:pPr>
                  <w:r w:rsidRPr="00173BCF">
                    <w:rPr>
                      <w:rFonts w:asciiTheme="majorHAnsi" w:hAnsiTheme="majorHAnsi"/>
                      <w:sz w:val="22"/>
                      <w:szCs w:val="24"/>
                    </w:rPr>
                    <w:t>Proposing and revising policies related to International Education;</w:t>
                  </w:r>
                </w:p>
                <w:p w:rsidR="00B0549D" w:rsidRPr="00173BCF" w:rsidRDefault="00B0549D" w:rsidP="00173BCF">
                  <w:pPr>
                    <w:pStyle w:val="NormalWeb"/>
                    <w:numPr>
                      <w:ilvl w:val="0"/>
                      <w:numId w:val="2"/>
                    </w:numPr>
                    <w:spacing w:beforeLines="0" w:after="2"/>
                    <w:rPr>
                      <w:rFonts w:asciiTheme="majorHAnsi" w:hAnsiTheme="majorHAnsi"/>
                      <w:sz w:val="22"/>
                      <w:szCs w:val="24"/>
                    </w:rPr>
                  </w:pPr>
                  <w:r w:rsidRPr="00173BCF">
                    <w:rPr>
                      <w:rFonts w:asciiTheme="majorHAnsi" w:hAnsiTheme="majorHAnsi"/>
                      <w:sz w:val="22"/>
                      <w:szCs w:val="24"/>
                    </w:rPr>
                    <w:t>Collaborating with colleges, departments, and the Associate Vice President for International Education to encourage and facilitate interdisciplinary curricular and programmatic internationalization;</w:t>
                  </w:r>
                </w:p>
                <w:p w:rsidR="00B0549D" w:rsidRPr="00173BCF" w:rsidRDefault="00B0549D" w:rsidP="00173BCF">
                  <w:pPr>
                    <w:pStyle w:val="NormalWeb"/>
                    <w:numPr>
                      <w:ilvl w:val="0"/>
                      <w:numId w:val="2"/>
                    </w:numPr>
                    <w:spacing w:beforeLines="0" w:after="2"/>
                    <w:rPr>
                      <w:rFonts w:asciiTheme="majorHAnsi" w:hAnsiTheme="majorHAnsi"/>
                      <w:sz w:val="22"/>
                      <w:szCs w:val="24"/>
                    </w:rPr>
                  </w:pPr>
                  <w:r w:rsidRPr="00173BCF">
                    <w:rPr>
                      <w:rFonts w:asciiTheme="majorHAnsi" w:hAnsiTheme="majorHAnsi"/>
                      <w:sz w:val="22"/>
                      <w:szCs w:val="24"/>
                    </w:rPr>
                    <w:t>Providing guidance, recommendations, and advocacy for International Education;</w:t>
                  </w:r>
                </w:p>
                <w:p w:rsidR="00B0549D" w:rsidRPr="00173BCF" w:rsidRDefault="00B0549D" w:rsidP="00173BCF">
                  <w:pPr>
                    <w:pStyle w:val="NormalWeb"/>
                    <w:numPr>
                      <w:ilvl w:val="0"/>
                      <w:numId w:val="2"/>
                    </w:numPr>
                    <w:spacing w:beforeLines="0" w:after="2"/>
                    <w:rPr>
                      <w:rFonts w:asciiTheme="majorHAnsi" w:hAnsiTheme="majorHAnsi"/>
                      <w:sz w:val="22"/>
                      <w:szCs w:val="24"/>
                    </w:rPr>
                  </w:pPr>
                  <w:r w:rsidRPr="00173BCF">
                    <w:rPr>
                      <w:rFonts w:asciiTheme="majorHAnsi" w:hAnsiTheme="majorHAnsi"/>
                      <w:sz w:val="22"/>
                      <w:szCs w:val="24"/>
                    </w:rPr>
                    <w:t>Supporting faculty efforts related to International Education;</w:t>
                  </w:r>
                </w:p>
                <w:p w:rsidR="00B0549D" w:rsidRPr="00173BCF" w:rsidRDefault="00B0549D" w:rsidP="00173BCF">
                  <w:pPr>
                    <w:pStyle w:val="NormalWeb"/>
                    <w:numPr>
                      <w:ilvl w:val="0"/>
                      <w:numId w:val="2"/>
                    </w:numPr>
                    <w:spacing w:beforeLines="0" w:after="2"/>
                    <w:rPr>
                      <w:rFonts w:asciiTheme="majorHAnsi" w:hAnsiTheme="majorHAnsi"/>
                      <w:sz w:val="22"/>
                      <w:szCs w:val="24"/>
                    </w:rPr>
                  </w:pPr>
                  <w:r w:rsidRPr="00173BCF">
                    <w:rPr>
                      <w:rFonts w:asciiTheme="majorHAnsi" w:hAnsiTheme="majorHAnsi"/>
                      <w:sz w:val="22"/>
                      <w:szCs w:val="24"/>
                    </w:rPr>
                    <w:t>Contributing advice and recommendations on International Educational linkages;</w:t>
                  </w:r>
                </w:p>
                <w:p w:rsidR="00B0549D" w:rsidRPr="00173BCF" w:rsidRDefault="00B0549D" w:rsidP="00173BCF">
                  <w:pPr>
                    <w:pStyle w:val="NormalWeb"/>
                    <w:numPr>
                      <w:ilvl w:val="0"/>
                      <w:numId w:val="2"/>
                    </w:numPr>
                    <w:spacing w:beforeLines="0" w:after="2"/>
                    <w:rPr>
                      <w:rFonts w:asciiTheme="majorHAnsi" w:hAnsiTheme="majorHAnsi"/>
                      <w:sz w:val="22"/>
                      <w:szCs w:val="24"/>
                    </w:rPr>
                  </w:pPr>
                  <w:r w:rsidRPr="00173BCF">
                    <w:rPr>
                      <w:rFonts w:asciiTheme="majorHAnsi" w:hAnsiTheme="majorHAnsi"/>
                      <w:sz w:val="22"/>
                      <w:szCs w:val="24"/>
                    </w:rPr>
                    <w:t>Encouraging efforts that enhance funding for International Education-related initiatives and research;</w:t>
                  </w:r>
                </w:p>
                <w:p w:rsidR="00B0549D" w:rsidRPr="00173BCF" w:rsidRDefault="00B0549D" w:rsidP="00173BCF">
                  <w:pPr>
                    <w:pStyle w:val="NormalWeb"/>
                    <w:numPr>
                      <w:ilvl w:val="0"/>
                      <w:numId w:val="2"/>
                    </w:numPr>
                    <w:spacing w:beforeLines="0" w:after="2"/>
                    <w:rPr>
                      <w:rFonts w:asciiTheme="majorHAnsi" w:hAnsiTheme="majorHAnsi"/>
                      <w:sz w:val="22"/>
                      <w:szCs w:val="24"/>
                    </w:rPr>
                  </w:pPr>
                  <w:r w:rsidRPr="00173BCF">
                    <w:rPr>
                      <w:rFonts w:asciiTheme="majorHAnsi" w:hAnsiTheme="majorHAnsi"/>
                      <w:sz w:val="22"/>
                      <w:szCs w:val="24"/>
                    </w:rPr>
                    <w:t xml:space="preserve">Coordinating the work of International Education Committee subcommittees and working groups pertaining to International Education; </w:t>
                  </w:r>
                </w:p>
                <w:p w:rsidR="00B0549D" w:rsidRPr="00173BCF" w:rsidRDefault="00B0549D" w:rsidP="00173BCF">
                  <w:pPr>
                    <w:pStyle w:val="NormalWeb"/>
                    <w:numPr>
                      <w:ilvl w:val="0"/>
                      <w:numId w:val="2"/>
                    </w:numPr>
                    <w:spacing w:before="2" w:afterLines="0"/>
                    <w:rPr>
                      <w:rFonts w:asciiTheme="majorHAnsi" w:hAnsiTheme="majorHAnsi"/>
                      <w:sz w:val="22"/>
                    </w:rPr>
                  </w:pPr>
                  <w:r w:rsidRPr="00173BCF">
                    <w:rPr>
                      <w:rFonts w:asciiTheme="majorHAnsi" w:hAnsiTheme="majorHAnsi"/>
                      <w:sz w:val="22"/>
                      <w:szCs w:val="24"/>
                    </w:rPr>
                    <w:t xml:space="preserve">Submitting an annual report of the committee's activities to the chair of the Curriculum and Educational Policies Council (CEPC). </w:t>
                  </w:r>
                </w:p>
                <w:p w:rsidR="00B0549D" w:rsidRPr="00173BCF" w:rsidRDefault="00B0549D" w:rsidP="00173BCF">
                  <w:pPr>
                    <w:pStyle w:val="NormalWeb"/>
                    <w:spacing w:beforeLines="0" w:after="2"/>
                    <w:rPr>
                      <w:rFonts w:asciiTheme="majorHAnsi" w:hAnsiTheme="majorHAnsi"/>
                      <w:sz w:val="22"/>
                    </w:rPr>
                  </w:pPr>
                  <w:r w:rsidRPr="00173BCF">
                    <w:rPr>
                      <w:rStyle w:val="Strong"/>
                      <w:rFonts w:asciiTheme="majorHAnsi" w:hAnsiTheme="majorHAnsi"/>
                      <w:sz w:val="22"/>
                      <w:szCs w:val="24"/>
                    </w:rPr>
                    <w:t> </w:t>
                  </w:r>
                </w:p>
                <w:p w:rsidR="00B0549D" w:rsidRPr="00173BCF" w:rsidRDefault="00B0549D" w:rsidP="00173BCF">
                  <w:pPr>
                    <w:pStyle w:val="NormalWeb"/>
                    <w:spacing w:before="2" w:afterLines="0"/>
                    <w:rPr>
                      <w:rFonts w:asciiTheme="majorHAnsi" w:hAnsiTheme="majorHAnsi"/>
                      <w:sz w:val="22"/>
                    </w:rPr>
                  </w:pPr>
                  <w:r w:rsidRPr="00173BCF">
                    <w:rPr>
                      <w:rStyle w:val="Strong"/>
                      <w:rFonts w:asciiTheme="majorHAnsi" w:hAnsiTheme="majorHAnsi"/>
                      <w:sz w:val="22"/>
                      <w:szCs w:val="24"/>
                    </w:rPr>
                    <w:t>Membership</w:t>
                  </w:r>
                </w:p>
                <w:p w:rsidR="00B0549D" w:rsidRPr="00173BCF" w:rsidRDefault="00B0549D" w:rsidP="00173BCF">
                  <w:pPr>
                    <w:pStyle w:val="NormalWeb"/>
                    <w:numPr>
                      <w:ilvl w:val="0"/>
                      <w:numId w:val="1"/>
                    </w:numPr>
                    <w:spacing w:before="2" w:after="2"/>
                    <w:rPr>
                      <w:rFonts w:asciiTheme="majorHAnsi" w:hAnsiTheme="majorHAnsi"/>
                      <w:sz w:val="22"/>
                      <w:szCs w:val="24"/>
                    </w:rPr>
                  </w:pPr>
                  <w:r w:rsidRPr="00173BCF">
                    <w:rPr>
                      <w:rFonts w:asciiTheme="majorHAnsi" w:hAnsiTheme="majorHAnsi"/>
                      <w:sz w:val="22"/>
                      <w:szCs w:val="24"/>
                    </w:rPr>
                    <w:t>*Associate Vice President, International Education, or designee</w:t>
                  </w:r>
                </w:p>
                <w:p w:rsidR="00B0549D" w:rsidRPr="00173BCF" w:rsidRDefault="00B0549D" w:rsidP="00173BCF">
                  <w:pPr>
                    <w:pStyle w:val="NormalWeb"/>
                    <w:numPr>
                      <w:ilvl w:val="0"/>
                      <w:numId w:val="1"/>
                    </w:numPr>
                    <w:spacing w:before="2" w:after="2"/>
                    <w:rPr>
                      <w:rFonts w:asciiTheme="majorHAnsi" w:hAnsiTheme="majorHAnsi"/>
                      <w:sz w:val="22"/>
                    </w:rPr>
                  </w:pPr>
                  <w:r w:rsidRPr="00173BCF">
                    <w:rPr>
                      <w:rFonts w:asciiTheme="majorHAnsi" w:hAnsiTheme="majorHAnsi"/>
                      <w:sz w:val="22"/>
                      <w:szCs w:val="24"/>
                    </w:rPr>
                    <w:t>*Senior Director, Center for International Education, or designee</w:t>
                  </w:r>
                </w:p>
                <w:p w:rsidR="00B0549D" w:rsidRPr="00173BCF" w:rsidRDefault="00B0549D" w:rsidP="00173BCF">
                  <w:pPr>
                    <w:pStyle w:val="NormalWeb"/>
                    <w:numPr>
                      <w:ilvl w:val="0"/>
                      <w:numId w:val="1"/>
                    </w:numPr>
                    <w:spacing w:before="2" w:after="2"/>
                    <w:rPr>
                      <w:rFonts w:asciiTheme="majorHAnsi" w:hAnsiTheme="majorHAnsi"/>
                      <w:sz w:val="22"/>
                    </w:rPr>
                  </w:pPr>
                  <w:r w:rsidRPr="00173BCF">
                    <w:rPr>
                      <w:rFonts w:asciiTheme="majorHAnsi" w:hAnsiTheme="majorHAnsi"/>
                      <w:sz w:val="22"/>
                      <w:szCs w:val="24"/>
                    </w:rPr>
                    <w:t>*Director, Education Abroad</w:t>
                  </w:r>
                </w:p>
                <w:p w:rsidR="00B0549D" w:rsidRPr="00173BCF" w:rsidRDefault="00B0549D" w:rsidP="00173BCF">
                  <w:pPr>
                    <w:pStyle w:val="NormalWeb"/>
                    <w:numPr>
                      <w:ilvl w:val="0"/>
                      <w:numId w:val="1"/>
                    </w:numPr>
                    <w:spacing w:before="2" w:after="2"/>
                    <w:rPr>
                      <w:rFonts w:asciiTheme="majorHAnsi" w:hAnsiTheme="majorHAnsi"/>
                      <w:sz w:val="22"/>
                      <w:szCs w:val="24"/>
                    </w:rPr>
                  </w:pPr>
                  <w:r w:rsidRPr="00173BCF">
                    <w:rPr>
                      <w:rFonts w:asciiTheme="majorHAnsi" w:hAnsiTheme="majorHAnsi"/>
                      <w:sz w:val="22"/>
                      <w:szCs w:val="24"/>
                    </w:rPr>
                    <w:t>Two (2) tenured, tenure-track, or lecturer faculty members from College of the Arts</w:t>
                  </w:r>
                </w:p>
                <w:p w:rsidR="00B0549D" w:rsidRPr="00173BCF" w:rsidRDefault="00B0549D" w:rsidP="00173BCF">
                  <w:pPr>
                    <w:pStyle w:val="NormalWeb"/>
                    <w:numPr>
                      <w:ilvl w:val="0"/>
                      <w:numId w:val="1"/>
                    </w:numPr>
                    <w:spacing w:before="2" w:after="2"/>
                    <w:rPr>
                      <w:rFonts w:asciiTheme="majorHAnsi" w:hAnsiTheme="majorHAnsi"/>
                      <w:sz w:val="22"/>
                      <w:szCs w:val="24"/>
                    </w:rPr>
                  </w:pPr>
                  <w:r w:rsidRPr="00173BCF">
                    <w:rPr>
                      <w:rFonts w:asciiTheme="majorHAnsi" w:hAnsiTheme="majorHAnsi"/>
                      <w:sz w:val="22"/>
                      <w:szCs w:val="24"/>
                    </w:rPr>
                    <w:t>Two (2) tenured, tenure-track, or lecturer faculty members from College of Business</w:t>
                  </w:r>
                </w:p>
                <w:p w:rsidR="00B0549D" w:rsidRPr="00173BCF" w:rsidRDefault="00B0549D" w:rsidP="00173BCF">
                  <w:pPr>
                    <w:pStyle w:val="NormalWeb"/>
                    <w:numPr>
                      <w:ilvl w:val="0"/>
                      <w:numId w:val="1"/>
                    </w:numPr>
                    <w:spacing w:before="2" w:after="2"/>
                    <w:rPr>
                      <w:rFonts w:asciiTheme="majorHAnsi" w:hAnsiTheme="majorHAnsi"/>
                      <w:sz w:val="22"/>
                      <w:szCs w:val="24"/>
                    </w:rPr>
                  </w:pPr>
                  <w:r w:rsidRPr="00173BCF">
                    <w:rPr>
                      <w:rFonts w:asciiTheme="majorHAnsi" w:hAnsiTheme="majorHAnsi"/>
                      <w:sz w:val="22"/>
                      <w:szCs w:val="24"/>
                    </w:rPr>
                    <w:t>Two (2) tenured, tenure-track, or lecturer faculty members from College of Education</w:t>
                  </w:r>
                </w:p>
                <w:p w:rsidR="00B0549D" w:rsidRPr="00173BCF" w:rsidRDefault="00B0549D" w:rsidP="00173BCF">
                  <w:pPr>
                    <w:pStyle w:val="NormalWeb"/>
                    <w:numPr>
                      <w:ilvl w:val="0"/>
                      <w:numId w:val="1"/>
                    </w:numPr>
                    <w:spacing w:before="2" w:after="2"/>
                    <w:rPr>
                      <w:rFonts w:asciiTheme="majorHAnsi" w:hAnsiTheme="majorHAnsi"/>
                      <w:sz w:val="22"/>
                      <w:szCs w:val="24"/>
                    </w:rPr>
                  </w:pPr>
                  <w:r w:rsidRPr="00173BCF">
                    <w:rPr>
                      <w:rFonts w:asciiTheme="majorHAnsi" w:hAnsiTheme="majorHAnsi"/>
                      <w:sz w:val="22"/>
                      <w:szCs w:val="24"/>
                    </w:rPr>
                    <w:t>Two (2) tenured, tenure-track, or lecturer faculty members from College of Engineering</w:t>
                  </w:r>
                </w:p>
                <w:p w:rsidR="00B0549D" w:rsidRPr="00173BCF" w:rsidRDefault="00B0549D" w:rsidP="00173BCF">
                  <w:pPr>
                    <w:pStyle w:val="NormalWeb"/>
                    <w:numPr>
                      <w:ilvl w:val="0"/>
                      <w:numId w:val="1"/>
                    </w:numPr>
                    <w:spacing w:before="2" w:after="2"/>
                    <w:rPr>
                      <w:rFonts w:asciiTheme="majorHAnsi" w:hAnsiTheme="majorHAnsi"/>
                      <w:sz w:val="22"/>
                      <w:szCs w:val="24"/>
                    </w:rPr>
                  </w:pPr>
                  <w:r w:rsidRPr="00173BCF">
                    <w:rPr>
                      <w:rFonts w:asciiTheme="majorHAnsi" w:hAnsiTheme="majorHAnsi"/>
                      <w:sz w:val="22"/>
                      <w:szCs w:val="24"/>
                    </w:rPr>
                    <w:t>Two (2) tenured, tenure-track, or lecturer faculty members from College of Health and Human Services</w:t>
                  </w:r>
                </w:p>
                <w:p w:rsidR="00B0549D" w:rsidRPr="00173BCF" w:rsidRDefault="00B0549D" w:rsidP="00173BCF">
                  <w:pPr>
                    <w:pStyle w:val="NormalWeb"/>
                    <w:numPr>
                      <w:ilvl w:val="0"/>
                      <w:numId w:val="1"/>
                    </w:numPr>
                    <w:spacing w:before="2" w:after="2"/>
                    <w:rPr>
                      <w:rFonts w:asciiTheme="majorHAnsi" w:hAnsiTheme="majorHAnsi"/>
                      <w:sz w:val="22"/>
                      <w:szCs w:val="24"/>
                    </w:rPr>
                  </w:pPr>
                  <w:r w:rsidRPr="00173BCF">
                    <w:rPr>
                      <w:rFonts w:asciiTheme="majorHAnsi" w:hAnsiTheme="majorHAnsi"/>
                      <w:sz w:val="22"/>
                      <w:szCs w:val="24"/>
                    </w:rPr>
                    <w:t>Four (4) tenured, tenure-track, or lecturer faculty members from College of Liberal Arts</w:t>
                  </w:r>
                </w:p>
                <w:p w:rsidR="00B0549D" w:rsidRPr="00173BCF" w:rsidRDefault="00B0549D" w:rsidP="00173BCF">
                  <w:pPr>
                    <w:pStyle w:val="NormalWeb"/>
                    <w:numPr>
                      <w:ilvl w:val="0"/>
                      <w:numId w:val="1"/>
                    </w:numPr>
                    <w:spacing w:before="2" w:after="2"/>
                    <w:rPr>
                      <w:rFonts w:asciiTheme="majorHAnsi" w:hAnsiTheme="majorHAnsi"/>
                      <w:sz w:val="22"/>
                      <w:szCs w:val="24"/>
                    </w:rPr>
                  </w:pPr>
                  <w:r w:rsidRPr="00173BCF">
                    <w:rPr>
                      <w:rFonts w:asciiTheme="majorHAnsi" w:hAnsiTheme="majorHAnsi"/>
                      <w:sz w:val="22"/>
                      <w:szCs w:val="24"/>
                    </w:rPr>
                    <w:t>Two (2) tenured, tenure-track, or lecturer faculty members from College of Natural Sciences and Mathematics</w:t>
                  </w:r>
                </w:p>
                <w:p w:rsidR="00B0549D" w:rsidRPr="00173BCF" w:rsidRDefault="00B0549D" w:rsidP="00173BCF">
                  <w:pPr>
                    <w:pStyle w:val="NormalWeb"/>
                    <w:numPr>
                      <w:ilvl w:val="0"/>
                      <w:numId w:val="1"/>
                    </w:numPr>
                    <w:spacing w:before="2" w:after="2"/>
                    <w:rPr>
                      <w:rFonts w:asciiTheme="majorHAnsi" w:hAnsiTheme="majorHAnsi"/>
                      <w:sz w:val="22"/>
                      <w:szCs w:val="24"/>
                    </w:rPr>
                  </w:pPr>
                  <w:r w:rsidRPr="00173BCF">
                    <w:rPr>
                      <w:rFonts w:asciiTheme="majorHAnsi" w:hAnsiTheme="majorHAnsi"/>
                      <w:sz w:val="22"/>
                      <w:szCs w:val="24"/>
                    </w:rPr>
                    <w:t>Two (2) tenured, tenure-track, or lecturer librarians from University Library Services recommended by the Academic Senate Nominating Committee</w:t>
                  </w:r>
                </w:p>
                <w:p w:rsidR="00B0549D" w:rsidRPr="00173BCF" w:rsidRDefault="00B0549D" w:rsidP="00173BCF">
                  <w:pPr>
                    <w:pStyle w:val="NormalWeb"/>
                    <w:numPr>
                      <w:ilvl w:val="0"/>
                      <w:numId w:val="1"/>
                    </w:numPr>
                    <w:spacing w:before="2" w:after="2"/>
                    <w:rPr>
                      <w:rFonts w:asciiTheme="majorHAnsi" w:hAnsiTheme="majorHAnsi"/>
                      <w:sz w:val="22"/>
                    </w:rPr>
                  </w:pPr>
                  <w:r w:rsidRPr="00173BCF">
                    <w:rPr>
                      <w:rFonts w:asciiTheme="majorHAnsi" w:hAnsiTheme="majorHAnsi"/>
                      <w:sz w:val="22"/>
                      <w:szCs w:val="24"/>
                    </w:rPr>
                    <w:t>Three (3) staff members, selected by the Staff Council</w:t>
                  </w:r>
                </w:p>
                <w:p w:rsidR="00B0549D" w:rsidRPr="00173BCF" w:rsidRDefault="00B0549D" w:rsidP="00173BCF">
                  <w:pPr>
                    <w:pStyle w:val="NormalWeb"/>
                    <w:numPr>
                      <w:ilvl w:val="0"/>
                      <w:numId w:val="1"/>
                    </w:numPr>
                    <w:spacing w:before="2" w:after="2"/>
                    <w:rPr>
                      <w:rFonts w:asciiTheme="majorHAnsi" w:hAnsiTheme="majorHAnsi"/>
                      <w:sz w:val="22"/>
                    </w:rPr>
                  </w:pPr>
                  <w:r w:rsidRPr="00173BCF">
                    <w:rPr>
                      <w:rFonts w:asciiTheme="majorHAnsi" w:hAnsiTheme="majorHAnsi"/>
                      <w:sz w:val="22"/>
                      <w:szCs w:val="24"/>
                    </w:rPr>
                    <w:t>Two (2) students, selected by the Associated Students, Inc.</w:t>
                  </w:r>
                </w:p>
                <w:p w:rsidR="00B0549D" w:rsidRPr="00173BCF" w:rsidRDefault="00B0549D" w:rsidP="00173BCF">
                  <w:pPr>
                    <w:pStyle w:val="NormalWeb"/>
                    <w:numPr>
                      <w:ilvl w:val="0"/>
                      <w:numId w:val="1"/>
                    </w:numPr>
                    <w:spacing w:before="2" w:after="2"/>
                    <w:rPr>
                      <w:rFonts w:asciiTheme="majorHAnsi" w:hAnsiTheme="majorHAnsi"/>
                      <w:sz w:val="22"/>
                    </w:rPr>
                  </w:pPr>
                  <w:r w:rsidRPr="00173BCF">
                    <w:rPr>
                      <w:rFonts w:asciiTheme="majorHAnsi" w:hAnsiTheme="majorHAnsi"/>
                      <w:sz w:val="22"/>
                      <w:szCs w:val="24"/>
                    </w:rPr>
                    <w:t>One (1) member of the Curriculum and Educational Policies Council selected by the council, who should also be a member of the International Education Committee if possible; if an individual with dual membership is not available, the council member becomes a non-voting member of the International Education Committee</w:t>
                  </w:r>
                </w:p>
                <w:p w:rsidR="00B0549D" w:rsidRPr="00173BCF" w:rsidRDefault="00B0549D" w:rsidP="00173BCF">
                  <w:pPr>
                    <w:pStyle w:val="NormalWeb"/>
                    <w:spacing w:before="2" w:after="2"/>
                    <w:rPr>
                      <w:rFonts w:asciiTheme="majorHAnsi" w:hAnsiTheme="majorHAnsi"/>
                      <w:sz w:val="22"/>
                      <w:szCs w:val="24"/>
                    </w:rPr>
                  </w:pPr>
                </w:p>
                <w:p w:rsidR="00B0549D" w:rsidRPr="00173BCF" w:rsidRDefault="00B0549D" w:rsidP="00173BCF">
                  <w:pPr>
                    <w:pStyle w:val="NormalWeb"/>
                    <w:spacing w:before="2" w:after="2"/>
                    <w:rPr>
                      <w:rFonts w:asciiTheme="majorHAnsi" w:hAnsiTheme="majorHAnsi"/>
                      <w:sz w:val="22"/>
                      <w:szCs w:val="24"/>
                    </w:rPr>
                  </w:pPr>
                  <w:r w:rsidRPr="00173BCF">
                    <w:rPr>
                      <w:rFonts w:asciiTheme="majorHAnsi" w:hAnsiTheme="majorHAnsi"/>
                      <w:sz w:val="22"/>
                      <w:szCs w:val="23"/>
                    </w:rPr>
                    <w:t>Members shall serve staggered, three-year terms and may be re-elected, but shall serve no more than two consecutive terms.</w:t>
                  </w:r>
                </w:p>
                <w:p w:rsidR="00B0549D" w:rsidRPr="00173BCF" w:rsidRDefault="00B0549D" w:rsidP="00173BCF">
                  <w:pPr>
                    <w:pStyle w:val="NormalWeb"/>
                    <w:spacing w:before="2" w:afterLines="0"/>
                    <w:rPr>
                      <w:rFonts w:asciiTheme="majorHAnsi" w:hAnsiTheme="majorHAnsi"/>
                      <w:sz w:val="22"/>
                    </w:rPr>
                  </w:pPr>
                  <w:r w:rsidRPr="00173BCF">
                    <w:rPr>
                      <w:rFonts w:asciiTheme="majorHAnsi" w:hAnsiTheme="majorHAnsi"/>
                      <w:sz w:val="22"/>
                    </w:rPr>
                    <w:t> </w:t>
                  </w:r>
                </w:p>
                <w:p w:rsidR="00B0549D" w:rsidRPr="00173BCF" w:rsidRDefault="00B0549D" w:rsidP="00173BCF">
                  <w:pPr>
                    <w:pStyle w:val="NormalWeb"/>
                    <w:spacing w:before="2" w:afterLines="0"/>
                    <w:rPr>
                      <w:rFonts w:asciiTheme="majorHAnsi" w:hAnsiTheme="majorHAnsi"/>
                      <w:sz w:val="22"/>
                    </w:rPr>
                  </w:pPr>
                  <w:r w:rsidRPr="00173BCF">
                    <w:rPr>
                      <w:rFonts w:asciiTheme="majorHAnsi" w:hAnsiTheme="majorHAnsi"/>
                      <w:sz w:val="22"/>
                    </w:rPr>
                    <w:t>*Non-voting, ex-officio member</w:t>
                  </w:r>
                </w:p>
                <w:p w:rsidR="00B0549D" w:rsidRPr="00173BCF" w:rsidRDefault="00B0549D" w:rsidP="00173BCF">
                  <w:pPr>
                    <w:pStyle w:val="NormalWeb"/>
                    <w:spacing w:before="2" w:afterLines="0"/>
                    <w:rPr>
                      <w:rFonts w:asciiTheme="majorHAnsi" w:hAnsiTheme="majorHAnsi"/>
                      <w:sz w:val="22"/>
                    </w:rPr>
                  </w:pPr>
                </w:p>
                <w:p w:rsidR="00B0549D" w:rsidRPr="00173BCF" w:rsidRDefault="00B0549D" w:rsidP="00173BCF">
                  <w:pPr>
                    <w:pStyle w:val="NormalWeb"/>
                    <w:spacing w:beforeLines="0" w:after="2"/>
                    <w:rPr>
                      <w:rFonts w:asciiTheme="majorHAnsi" w:hAnsiTheme="majorHAnsi"/>
                      <w:sz w:val="22"/>
                    </w:rPr>
                  </w:pPr>
                  <w:r w:rsidRPr="00173BCF">
                    <w:rPr>
                      <w:rStyle w:val="Strong"/>
                      <w:rFonts w:asciiTheme="majorHAnsi" w:hAnsiTheme="majorHAnsi"/>
                      <w:sz w:val="22"/>
                      <w:szCs w:val="24"/>
                    </w:rPr>
                    <w:t>Governance</w:t>
                  </w:r>
                  <w:r w:rsidRPr="00173BCF">
                    <w:rPr>
                      <w:rFonts w:asciiTheme="majorHAnsi" w:hAnsiTheme="majorHAnsi"/>
                      <w:sz w:val="22"/>
                      <w:szCs w:val="24"/>
                    </w:rPr>
                    <w:br/>
                    <w:t xml:space="preserve">The committee is led by a Steering Group, comprised of an elected chair, vice chair, recorder, member- at-large, in addition to the Associate Vice President, International Education, and the Senior Director, Center for International Education. </w:t>
                  </w:r>
                </w:p>
                <w:p w:rsidR="00B0549D" w:rsidRDefault="00B0549D"/>
              </w:txbxContent>
            </v:textbox>
            <w10:wrap type="tight"/>
          </v:shape>
        </w:pict>
      </w:r>
    </w:p>
    <w:p w:rsidR="008B3D01" w:rsidRDefault="00173BCF" w:rsidP="00173BCF">
      <w:pPr>
        <w:pStyle w:val="NormalWeb"/>
        <w:spacing w:before="2" w:afterLines="0"/>
        <w:rPr>
          <w:rStyle w:val="Strong"/>
          <w:rFonts w:asciiTheme="majorHAnsi" w:hAnsiTheme="majorHAnsi"/>
          <w:b w:val="0"/>
          <w:sz w:val="22"/>
          <w:szCs w:val="24"/>
        </w:rPr>
      </w:pPr>
      <w:r>
        <w:rPr>
          <w:rStyle w:val="Strong"/>
          <w:rFonts w:asciiTheme="majorHAnsi" w:hAnsiTheme="majorHAnsi"/>
          <w:b w:val="0"/>
          <w:sz w:val="22"/>
          <w:szCs w:val="24"/>
        </w:rPr>
        <w:t xml:space="preserve">The debate in the full IEC was significant over these changes.  There were two significant issues in question: 1) whether ex-officio members should be voting or non-voting and 2) whether CCPE should have a faculty representative as other Colleges do.  The </w:t>
      </w:r>
      <w:r w:rsidR="008B3D01">
        <w:rPr>
          <w:rStyle w:val="Strong"/>
          <w:rFonts w:asciiTheme="majorHAnsi" w:hAnsiTheme="majorHAnsi"/>
          <w:b w:val="0"/>
          <w:sz w:val="22"/>
          <w:szCs w:val="24"/>
        </w:rPr>
        <w:t>chair moved to vote for approval of all aspects of the proposed mission, charge, and membership except these two issues, tabling these two aspects for a second vote until the April meeting, allowing time</w:t>
      </w:r>
      <w:r>
        <w:rPr>
          <w:rStyle w:val="Strong"/>
          <w:rFonts w:asciiTheme="majorHAnsi" w:hAnsiTheme="majorHAnsi"/>
          <w:b w:val="0"/>
          <w:sz w:val="22"/>
          <w:szCs w:val="24"/>
        </w:rPr>
        <w:t xml:space="preserve"> to seek further information on Senate rules and norms.  </w:t>
      </w:r>
      <w:r w:rsidR="008B3D01">
        <w:rPr>
          <w:rStyle w:val="Strong"/>
          <w:rFonts w:asciiTheme="majorHAnsi" w:hAnsiTheme="majorHAnsi"/>
          <w:b w:val="0"/>
          <w:sz w:val="22"/>
          <w:szCs w:val="24"/>
        </w:rPr>
        <w:t>The membership of the IEC voted unanimously passing all but these two elements.  Despite this further input at the April meeting the IEC had a split vote nearly evenly bifurcated on both of these questions.  The committee members then voted unanimously to refer the mission, charge, and membership to the CEPC as stands with notation that it is split on these two elements.  This was sent to Chris Brazier, Chair of CEPC, on April 22.  This was too late for the CEPC to consider the revised mission and charge in the 2010-11 year so it was carried over until Fall 2011.</w:t>
      </w:r>
    </w:p>
    <w:p w:rsidR="008B3D01" w:rsidRDefault="008B3D01" w:rsidP="00173BCF">
      <w:pPr>
        <w:pStyle w:val="NormalWeb"/>
        <w:spacing w:before="2" w:afterLines="0"/>
        <w:rPr>
          <w:rStyle w:val="Strong"/>
        </w:rPr>
      </w:pPr>
    </w:p>
    <w:p w:rsidR="000875B1" w:rsidRDefault="008B3D01" w:rsidP="00173BCF">
      <w:pPr>
        <w:pStyle w:val="NormalWeb"/>
        <w:spacing w:before="2" w:afterLines="0"/>
        <w:rPr>
          <w:rStyle w:val="Strong"/>
        </w:rPr>
      </w:pPr>
      <w:r>
        <w:rPr>
          <w:rStyle w:val="Strong"/>
          <w:rFonts w:asciiTheme="majorHAnsi" w:hAnsiTheme="majorHAnsi"/>
          <w:b w:val="0"/>
          <w:sz w:val="22"/>
          <w:szCs w:val="24"/>
        </w:rPr>
        <w:t>The grants working group met with the AVP for Research, TC Yih, thrice.  The result was</w:t>
      </w:r>
      <w:r w:rsidR="00880F61">
        <w:rPr>
          <w:rStyle w:val="Strong"/>
          <w:rFonts w:asciiTheme="majorHAnsi" w:hAnsiTheme="majorHAnsi"/>
          <w:b w:val="0"/>
          <w:sz w:val="22"/>
          <w:szCs w:val="24"/>
        </w:rPr>
        <w:t xml:space="preserve"> that</w:t>
      </w:r>
      <w:r>
        <w:rPr>
          <w:rStyle w:val="Strong"/>
          <w:rFonts w:asciiTheme="majorHAnsi" w:hAnsiTheme="majorHAnsi"/>
          <w:b w:val="0"/>
          <w:sz w:val="22"/>
          <w:szCs w:val="24"/>
        </w:rPr>
        <w:t xml:space="preserve"> “international” </w:t>
      </w:r>
      <w:r w:rsidR="00880F61">
        <w:rPr>
          <w:rStyle w:val="Strong"/>
          <w:rFonts w:asciiTheme="majorHAnsi" w:hAnsiTheme="majorHAnsi"/>
          <w:b w:val="0"/>
          <w:sz w:val="22"/>
          <w:szCs w:val="24"/>
        </w:rPr>
        <w:t xml:space="preserve">was </w:t>
      </w:r>
      <w:r>
        <w:rPr>
          <w:rStyle w:val="Strong"/>
          <w:rFonts w:asciiTheme="majorHAnsi" w:hAnsiTheme="majorHAnsi"/>
          <w:b w:val="0"/>
          <w:sz w:val="22"/>
          <w:szCs w:val="24"/>
        </w:rPr>
        <w:t xml:space="preserve">chosen by the AVP as an experimental interdisciplinary “pull” category in the forthcoming grants database and the groundwork for creating a specialized workshop for international-related grant-writing from across departments and colleges.  The international students working group led to an important internal mission.  </w:t>
      </w:r>
      <w:r w:rsidR="00B82A23">
        <w:rPr>
          <w:rStyle w:val="Strong"/>
          <w:rFonts w:asciiTheme="majorHAnsi" w:hAnsiTheme="majorHAnsi"/>
          <w:b w:val="0"/>
          <w:sz w:val="22"/>
          <w:szCs w:val="24"/>
        </w:rPr>
        <w:t>It improved IEC coordination with CIE and CDC efforts</w:t>
      </w:r>
      <w:r>
        <w:rPr>
          <w:rStyle w:val="Strong"/>
          <w:rFonts w:asciiTheme="majorHAnsi" w:hAnsiTheme="majorHAnsi"/>
          <w:b w:val="0"/>
          <w:sz w:val="22"/>
          <w:szCs w:val="24"/>
        </w:rPr>
        <w:t>.  It also worked closely with AVP Jeet Joshee while he looked towards reinventing the process and services for international students.  While the IEC has no role in that administrative process</w:t>
      </w:r>
      <w:r w:rsidR="00880F61">
        <w:rPr>
          <w:rStyle w:val="Strong"/>
          <w:rFonts w:asciiTheme="majorHAnsi" w:hAnsiTheme="majorHAnsi"/>
          <w:b w:val="0"/>
          <w:sz w:val="22"/>
          <w:szCs w:val="24"/>
        </w:rPr>
        <w:t>,</w:t>
      </w:r>
      <w:r>
        <w:rPr>
          <w:rStyle w:val="Strong"/>
          <w:rFonts w:asciiTheme="majorHAnsi" w:hAnsiTheme="majorHAnsi"/>
          <w:b w:val="0"/>
          <w:sz w:val="22"/>
          <w:szCs w:val="24"/>
        </w:rPr>
        <w:t xml:space="preserve"> it led discussion on innovations in how to better integrate students into mainstream academics.  The curriculum working group wrote a mission and charge</w:t>
      </w:r>
      <w:r w:rsidR="00B82A23">
        <w:rPr>
          <w:rStyle w:val="Strong"/>
          <w:rFonts w:asciiTheme="majorHAnsi" w:hAnsiTheme="majorHAnsi"/>
          <w:b w:val="0"/>
          <w:sz w:val="22"/>
          <w:szCs w:val="24"/>
        </w:rPr>
        <w:t xml:space="preserve"> for its own efforts</w:t>
      </w:r>
      <w:r>
        <w:rPr>
          <w:rStyle w:val="Strong"/>
          <w:rFonts w:asciiTheme="majorHAnsi" w:hAnsiTheme="majorHAnsi"/>
          <w:b w:val="0"/>
          <w:sz w:val="22"/>
          <w:szCs w:val="24"/>
        </w:rPr>
        <w:t>.  Most of it is yet to be acted upon.  However, this is largely because the members of the working group became instrumental in design</w:t>
      </w:r>
      <w:r w:rsidR="00A132CD">
        <w:rPr>
          <w:rStyle w:val="Strong"/>
          <w:rFonts w:asciiTheme="majorHAnsi" w:hAnsiTheme="majorHAnsi"/>
          <w:b w:val="0"/>
          <w:sz w:val="22"/>
          <w:szCs w:val="24"/>
        </w:rPr>
        <w:t>ing</w:t>
      </w:r>
      <w:r>
        <w:rPr>
          <w:rStyle w:val="Strong"/>
          <w:rFonts w:asciiTheme="majorHAnsi" w:hAnsiTheme="majorHAnsi"/>
          <w:b w:val="0"/>
          <w:sz w:val="22"/>
          <w:szCs w:val="24"/>
        </w:rPr>
        <w:t xml:space="preserve"> the </w:t>
      </w:r>
      <w:r w:rsidR="001947C4">
        <w:rPr>
          <w:rStyle w:val="Strong"/>
          <w:rFonts w:asciiTheme="majorHAnsi" w:hAnsiTheme="majorHAnsi"/>
          <w:b w:val="0"/>
          <w:sz w:val="22"/>
          <w:szCs w:val="24"/>
        </w:rPr>
        <w:t xml:space="preserve">Incentive Award instrument (below).  Development met with the AVP for Development on two occasions and with the assigned development officer for CCPE.  It made important strides in untangling how to seek cross-campus, interdisciplinary international-specific development funds within a college-based development structure.  </w:t>
      </w:r>
    </w:p>
    <w:p w:rsidR="000875B1" w:rsidRDefault="000875B1" w:rsidP="00173BCF">
      <w:pPr>
        <w:pStyle w:val="NormalWeb"/>
        <w:spacing w:before="2" w:afterLines="0"/>
        <w:rPr>
          <w:rStyle w:val="Strong"/>
        </w:rPr>
      </w:pPr>
    </w:p>
    <w:p w:rsidR="00173BCF" w:rsidRPr="008B3D01" w:rsidRDefault="000875B1" w:rsidP="00173BCF">
      <w:pPr>
        <w:pStyle w:val="NormalWeb"/>
        <w:spacing w:before="2" w:afterLines="0"/>
        <w:rPr>
          <w:rStyle w:val="Strong"/>
        </w:rPr>
      </w:pPr>
      <w:r>
        <w:rPr>
          <w:rStyle w:val="Strong"/>
          <w:rFonts w:asciiTheme="majorHAnsi" w:hAnsiTheme="majorHAnsi"/>
          <w:b w:val="0"/>
          <w:sz w:val="22"/>
          <w:szCs w:val="24"/>
        </w:rPr>
        <w:t xml:space="preserve">In Fall 2010 an additional ad-hoc working group was formed within the IEC in support of the Provost’s International Education Task Force.  The Task Force was quick to recognize that the work effort of its research would out-strip its membership.  With the support of the chair and vice-chair of the IEC, and the approval of the IEC membership, it thus charged the ad-hoc working group of the IEC in support of the Task Force with conducting a survey of international education structures and norms </w:t>
      </w:r>
      <w:r w:rsidR="00575E44">
        <w:rPr>
          <w:rStyle w:val="Strong"/>
          <w:rFonts w:asciiTheme="majorHAnsi" w:hAnsiTheme="majorHAnsi"/>
          <w:b w:val="0"/>
          <w:sz w:val="22"/>
          <w:szCs w:val="24"/>
        </w:rPr>
        <w:t xml:space="preserve">at other universities.  </w:t>
      </w:r>
      <w:r w:rsidR="00B82A23">
        <w:rPr>
          <w:rStyle w:val="Strong"/>
          <w:rFonts w:asciiTheme="majorHAnsi" w:hAnsiTheme="majorHAnsi"/>
          <w:b w:val="0"/>
          <w:sz w:val="22"/>
          <w:szCs w:val="24"/>
        </w:rPr>
        <w:t xml:space="preserve">This group was comprised of Raul Reis, </w:t>
      </w:r>
      <w:r w:rsidR="003C4660" w:rsidRPr="003C4660">
        <w:rPr>
          <w:rStyle w:val="Strong"/>
          <w:rFonts w:asciiTheme="majorHAnsi" w:hAnsiTheme="majorHAnsi"/>
          <w:b w:val="0"/>
          <w:sz w:val="22"/>
          <w:szCs w:val="24"/>
        </w:rPr>
        <w:t>Aparna Nayak-Guercio</w:t>
      </w:r>
      <w:r w:rsidR="003C4660">
        <w:rPr>
          <w:rStyle w:val="Strong"/>
          <w:rFonts w:asciiTheme="majorHAnsi" w:hAnsiTheme="majorHAnsi"/>
          <w:b w:val="0"/>
          <w:sz w:val="22"/>
          <w:szCs w:val="24"/>
        </w:rPr>
        <w:t xml:space="preserve">, </w:t>
      </w:r>
      <w:r w:rsidR="00B82A23">
        <w:rPr>
          <w:rStyle w:val="Strong"/>
          <w:rFonts w:asciiTheme="majorHAnsi" w:hAnsiTheme="majorHAnsi"/>
          <w:b w:val="0"/>
          <w:sz w:val="22"/>
          <w:szCs w:val="24"/>
        </w:rPr>
        <w:t xml:space="preserve">Shuhua An, </w:t>
      </w:r>
      <w:r w:rsidR="003C4660">
        <w:rPr>
          <w:rStyle w:val="Strong"/>
          <w:rFonts w:asciiTheme="majorHAnsi" w:hAnsiTheme="majorHAnsi"/>
          <w:b w:val="0"/>
          <w:sz w:val="22"/>
          <w:szCs w:val="24"/>
        </w:rPr>
        <w:t>Nathan Jensen, Richard Marcus, Laura Portnoi, and Elaine Haglund.  T</w:t>
      </w:r>
      <w:r w:rsidR="00575E44">
        <w:rPr>
          <w:rStyle w:val="Strong"/>
          <w:rFonts w:asciiTheme="majorHAnsi" w:hAnsiTheme="majorHAnsi"/>
          <w:b w:val="0"/>
          <w:sz w:val="22"/>
          <w:szCs w:val="24"/>
        </w:rPr>
        <w:t xml:space="preserve">hat working group broke down other universities into 1) other CSUs 2) Southern California UCs, and 3) “like” universities in other parts of the country.  That survey was then written up as a report and given with the raw data results to the Task Force to integrate with its other data and serve its findings.  </w:t>
      </w:r>
    </w:p>
    <w:p w:rsidR="001947C4" w:rsidRDefault="001947C4" w:rsidP="00792587">
      <w:pPr>
        <w:spacing w:after="0" w:line="240" w:lineRule="auto"/>
        <w:rPr>
          <w:rFonts w:asciiTheme="majorHAnsi" w:hAnsiTheme="majorHAnsi"/>
        </w:rPr>
      </w:pPr>
    </w:p>
    <w:p w:rsidR="001947C4" w:rsidRDefault="001947C4" w:rsidP="00792587">
      <w:pPr>
        <w:spacing w:after="0" w:line="240" w:lineRule="auto"/>
        <w:rPr>
          <w:rFonts w:asciiTheme="majorHAnsi" w:hAnsiTheme="majorHAnsi"/>
        </w:rPr>
      </w:pPr>
      <w:r>
        <w:rPr>
          <w:rFonts w:asciiTheme="majorHAnsi" w:hAnsiTheme="majorHAnsi"/>
          <w:b/>
        </w:rPr>
        <w:t>Incentive Award for Globalizing Instruction</w:t>
      </w:r>
    </w:p>
    <w:p w:rsidR="001947C4" w:rsidRDefault="001947C4" w:rsidP="00792587">
      <w:pPr>
        <w:spacing w:after="0" w:line="240" w:lineRule="auto"/>
        <w:rPr>
          <w:rFonts w:asciiTheme="majorHAnsi" w:hAnsiTheme="majorHAnsi"/>
        </w:rPr>
      </w:pPr>
    </w:p>
    <w:p w:rsidR="001947C4" w:rsidRDefault="001947C4" w:rsidP="00792587">
      <w:pPr>
        <w:spacing w:after="0" w:line="240" w:lineRule="auto"/>
        <w:rPr>
          <w:rFonts w:asciiTheme="majorHAnsi" w:hAnsiTheme="majorHAnsi"/>
        </w:rPr>
      </w:pPr>
      <w:r>
        <w:rPr>
          <w:rFonts w:asciiTheme="majorHAnsi" w:hAnsiTheme="majorHAnsi"/>
        </w:rPr>
        <w:t>Funds from the AVP for International Education were matched by a donor for creating an Incentive Award for Globalizing  Instruction.  The guidelines of that award were largely designed by a combination of the curriculum group, the IEC Chair, and the AVP for International Education.  The guidelines can be found in addendum.  A different group of volunteers from the IEC membership</w:t>
      </w:r>
      <w:r w:rsidR="003C4660">
        <w:rPr>
          <w:rFonts w:asciiTheme="majorHAnsi" w:hAnsiTheme="majorHAnsi"/>
        </w:rPr>
        <w:t xml:space="preserve"> formed a review group.  The members included </w:t>
      </w:r>
      <w:r>
        <w:rPr>
          <w:rFonts w:asciiTheme="majorHAnsi" w:hAnsiTheme="majorHAnsi"/>
        </w:rPr>
        <w:t>Eileen Bosch</w:t>
      </w:r>
      <w:r w:rsidR="003C4660">
        <w:rPr>
          <w:rFonts w:asciiTheme="majorHAnsi" w:hAnsiTheme="majorHAnsi"/>
        </w:rPr>
        <w:t xml:space="preserve"> (Chair), Mark Washburn, Carlos Silveriera, Carolin Lusby, and Vlatka Velcic.  </w:t>
      </w:r>
      <w:r>
        <w:rPr>
          <w:rFonts w:asciiTheme="majorHAnsi" w:hAnsiTheme="majorHAnsi"/>
        </w:rPr>
        <w:t xml:space="preserve">The Chair of the IEC served as point of contact for enquiries about the award but did not serve on the award review group.  The IEC membership voted unanimously at the May meeting to approve the awards as recommended by the review group.  Awardees can be found in addendum.  </w:t>
      </w:r>
    </w:p>
    <w:p w:rsidR="001947C4" w:rsidRDefault="001947C4" w:rsidP="00792587">
      <w:pPr>
        <w:spacing w:after="0" w:line="240" w:lineRule="auto"/>
        <w:rPr>
          <w:rFonts w:asciiTheme="majorHAnsi" w:hAnsiTheme="majorHAnsi"/>
        </w:rPr>
      </w:pPr>
    </w:p>
    <w:p w:rsidR="001947C4" w:rsidRDefault="001947C4" w:rsidP="00792587">
      <w:pPr>
        <w:spacing w:after="0" w:line="240" w:lineRule="auto"/>
        <w:rPr>
          <w:rFonts w:asciiTheme="majorHAnsi" w:hAnsiTheme="majorHAnsi"/>
          <w:b/>
        </w:rPr>
      </w:pPr>
      <w:r>
        <w:rPr>
          <w:rFonts w:asciiTheme="majorHAnsi" w:hAnsiTheme="majorHAnsi"/>
          <w:b/>
        </w:rPr>
        <w:t>Recommendations to Approve MOUs for Bilateral Agreements</w:t>
      </w:r>
    </w:p>
    <w:p w:rsidR="001947C4" w:rsidRDefault="001947C4" w:rsidP="00792587">
      <w:pPr>
        <w:spacing w:after="0" w:line="240" w:lineRule="auto"/>
        <w:rPr>
          <w:rFonts w:asciiTheme="majorHAnsi" w:hAnsiTheme="majorHAnsi"/>
          <w:b/>
        </w:rPr>
      </w:pPr>
    </w:p>
    <w:p w:rsidR="009F433E" w:rsidRDefault="001947C4" w:rsidP="00792587">
      <w:pPr>
        <w:spacing w:after="0" w:line="240" w:lineRule="auto"/>
        <w:rPr>
          <w:rFonts w:asciiTheme="majorHAnsi" w:hAnsiTheme="majorHAnsi"/>
        </w:rPr>
      </w:pPr>
      <w:r>
        <w:rPr>
          <w:rFonts w:asciiTheme="majorHAnsi" w:hAnsiTheme="majorHAnsi"/>
        </w:rPr>
        <w:t xml:space="preserve">As a matter of process bilateral agreements for international exchanges are written by the Director of Education Abroad in consultation with the </w:t>
      </w:r>
      <w:r w:rsidR="009F433E">
        <w:rPr>
          <w:rFonts w:asciiTheme="majorHAnsi" w:hAnsiTheme="majorHAnsi"/>
        </w:rPr>
        <w:t xml:space="preserve">Executive Director of the CIE.  They are then brought to the International Education Committee to recommend approval, amendment, or rejection.  The ultimate decision is then left to the AVP for International Education in consultation with the Provost and President.  The </w:t>
      </w:r>
      <w:r w:rsidR="003C4660">
        <w:rPr>
          <w:rFonts w:asciiTheme="majorHAnsi" w:hAnsiTheme="majorHAnsi"/>
        </w:rPr>
        <w:t>IEC unanimously recommended the following programs to the AVP</w:t>
      </w:r>
      <w:r w:rsidR="009F433E">
        <w:rPr>
          <w:rFonts w:asciiTheme="majorHAnsi" w:hAnsiTheme="majorHAnsi"/>
        </w:rPr>
        <w:t>:</w:t>
      </w:r>
    </w:p>
    <w:p w:rsidR="009F433E" w:rsidRDefault="009F433E" w:rsidP="00792587">
      <w:pPr>
        <w:spacing w:after="0" w:line="240" w:lineRule="auto"/>
        <w:rPr>
          <w:rFonts w:asciiTheme="majorHAnsi" w:hAnsiTheme="majorHAnsi"/>
        </w:rPr>
      </w:pPr>
    </w:p>
    <w:p w:rsidR="009F433E" w:rsidRPr="008D2AD4" w:rsidRDefault="009F433E" w:rsidP="009F433E">
      <w:pPr>
        <w:numPr>
          <w:ilvl w:val="0"/>
          <w:numId w:val="3"/>
        </w:numPr>
        <w:tabs>
          <w:tab w:val="left" w:pos="900"/>
          <w:tab w:val="left" w:pos="1260"/>
        </w:tabs>
        <w:spacing w:after="0" w:line="240" w:lineRule="auto"/>
        <w:rPr>
          <w:rStyle w:val="apple-style-span"/>
        </w:rPr>
      </w:pPr>
      <w:r w:rsidRPr="008D2AD4">
        <w:rPr>
          <w:rStyle w:val="apple-style-span"/>
        </w:rPr>
        <w:t>University of Kent, UK</w:t>
      </w:r>
    </w:p>
    <w:p w:rsidR="009F433E" w:rsidRDefault="009F433E" w:rsidP="009F433E">
      <w:pPr>
        <w:numPr>
          <w:ilvl w:val="0"/>
          <w:numId w:val="3"/>
        </w:numPr>
        <w:tabs>
          <w:tab w:val="left" w:pos="900"/>
          <w:tab w:val="left" w:pos="1260"/>
        </w:tabs>
        <w:spacing w:after="0" w:line="240" w:lineRule="auto"/>
        <w:rPr>
          <w:rStyle w:val="apple-style-span"/>
        </w:rPr>
      </w:pPr>
      <w:r w:rsidRPr="008D2AD4">
        <w:rPr>
          <w:rStyle w:val="apple-style-span"/>
        </w:rPr>
        <w:t>Glasgow Caledonia University</w:t>
      </w:r>
    </w:p>
    <w:p w:rsidR="009F433E" w:rsidRPr="008D2AD4" w:rsidRDefault="009F433E" w:rsidP="009F433E">
      <w:pPr>
        <w:numPr>
          <w:ilvl w:val="0"/>
          <w:numId w:val="3"/>
        </w:numPr>
        <w:tabs>
          <w:tab w:val="left" w:pos="900"/>
          <w:tab w:val="left" w:pos="1260"/>
        </w:tabs>
        <w:spacing w:after="0" w:line="240" w:lineRule="auto"/>
        <w:rPr>
          <w:rStyle w:val="apple-style-span"/>
        </w:rPr>
      </w:pPr>
      <w:r w:rsidRPr="008D2AD4">
        <w:rPr>
          <w:rStyle w:val="apple-style-span"/>
        </w:rPr>
        <w:t>Ca' Foscari, Venice, Italy</w:t>
      </w:r>
    </w:p>
    <w:p w:rsidR="009F433E" w:rsidRDefault="009F433E" w:rsidP="009F433E">
      <w:pPr>
        <w:numPr>
          <w:ilvl w:val="0"/>
          <w:numId w:val="3"/>
        </w:numPr>
        <w:tabs>
          <w:tab w:val="left" w:pos="900"/>
          <w:tab w:val="left" w:pos="1260"/>
        </w:tabs>
        <w:spacing w:after="0" w:line="240" w:lineRule="auto"/>
        <w:rPr>
          <w:rStyle w:val="apple-style-span"/>
        </w:rPr>
      </w:pPr>
      <w:r w:rsidRPr="008D2AD4">
        <w:rPr>
          <w:rStyle w:val="apple-style-span"/>
        </w:rPr>
        <w:t>Mahidol University, Thailand</w:t>
      </w:r>
    </w:p>
    <w:p w:rsidR="009F433E" w:rsidRDefault="009F433E" w:rsidP="009F433E">
      <w:pPr>
        <w:numPr>
          <w:ilvl w:val="0"/>
          <w:numId w:val="3"/>
        </w:numPr>
        <w:tabs>
          <w:tab w:val="left" w:pos="900"/>
          <w:tab w:val="left" w:pos="1260"/>
        </w:tabs>
        <w:spacing w:after="0" w:line="240" w:lineRule="auto"/>
        <w:rPr>
          <w:rStyle w:val="apple-style-span"/>
        </w:rPr>
      </w:pPr>
      <w:r w:rsidRPr="00D861E0">
        <w:rPr>
          <w:rStyle w:val="apple-style-span"/>
        </w:rPr>
        <w:t>Ollscoil Luimnigh/University of Limerick</w:t>
      </w:r>
      <w:r>
        <w:rPr>
          <w:rStyle w:val="apple-style-span"/>
        </w:rPr>
        <w:t xml:space="preserve"> (Ireland)</w:t>
      </w:r>
    </w:p>
    <w:p w:rsidR="009F433E" w:rsidRDefault="009F433E" w:rsidP="009F433E">
      <w:pPr>
        <w:numPr>
          <w:ilvl w:val="0"/>
          <w:numId w:val="3"/>
        </w:numPr>
        <w:tabs>
          <w:tab w:val="left" w:pos="900"/>
          <w:tab w:val="left" w:pos="1260"/>
        </w:tabs>
        <w:spacing w:after="0" w:line="240" w:lineRule="auto"/>
        <w:rPr>
          <w:rStyle w:val="apple-style-span"/>
        </w:rPr>
      </w:pPr>
      <w:r w:rsidRPr="00D861E0">
        <w:rPr>
          <w:rStyle w:val="apple-style-span"/>
        </w:rPr>
        <w:t>Josai International University</w:t>
      </w:r>
      <w:r>
        <w:rPr>
          <w:rStyle w:val="apple-style-span"/>
        </w:rPr>
        <w:t xml:space="preserve"> (Japan) </w:t>
      </w:r>
    </w:p>
    <w:p w:rsidR="009F433E" w:rsidRDefault="009F433E" w:rsidP="009F433E">
      <w:pPr>
        <w:tabs>
          <w:tab w:val="left" w:pos="900"/>
          <w:tab w:val="left" w:pos="1260"/>
        </w:tabs>
        <w:spacing w:after="0" w:line="240" w:lineRule="auto"/>
        <w:rPr>
          <w:rStyle w:val="apple-style-span"/>
        </w:rPr>
      </w:pPr>
    </w:p>
    <w:p w:rsidR="009F433E" w:rsidRPr="008D2AD4" w:rsidRDefault="009F433E" w:rsidP="009F433E">
      <w:pPr>
        <w:tabs>
          <w:tab w:val="left" w:pos="900"/>
          <w:tab w:val="left" w:pos="1260"/>
        </w:tabs>
        <w:spacing w:after="0" w:line="240" w:lineRule="auto"/>
        <w:rPr>
          <w:rStyle w:val="apple-style-span"/>
        </w:rPr>
      </w:pPr>
    </w:p>
    <w:p w:rsidR="009F433E" w:rsidRPr="009F433E" w:rsidRDefault="009F433E" w:rsidP="009F433E">
      <w:pPr>
        <w:spacing w:after="0" w:line="240" w:lineRule="auto"/>
        <w:rPr>
          <w:rFonts w:asciiTheme="majorHAnsi" w:hAnsiTheme="majorHAnsi"/>
          <w:b/>
        </w:rPr>
      </w:pPr>
      <w:r w:rsidRPr="009F433E">
        <w:rPr>
          <w:rFonts w:asciiTheme="majorHAnsi" w:hAnsiTheme="majorHAnsi"/>
          <w:b/>
        </w:rPr>
        <w:t>Geographic Area Subcommittees of the IEC:</w:t>
      </w:r>
    </w:p>
    <w:p w:rsidR="009F433E" w:rsidRPr="009F433E" w:rsidRDefault="009F433E" w:rsidP="009F433E">
      <w:pPr>
        <w:spacing w:after="0" w:line="240" w:lineRule="auto"/>
        <w:rPr>
          <w:rFonts w:asciiTheme="majorHAnsi" w:hAnsiTheme="majorHAnsi"/>
        </w:rPr>
      </w:pPr>
      <w:r w:rsidRPr="009F433E">
        <w:rPr>
          <w:rFonts w:asciiTheme="majorHAnsi" w:hAnsiTheme="majorHAnsi"/>
        </w:rPr>
        <w:t xml:space="preserve">Traditionally, the committee has helped develop and supported the work of the following Geographic Area Subcommittees: African Studies, East Asian Studies, European Studies, Latin American Studies, Middle/Near East Studies, and South Asian Studies.  There was no money to support any activities of the Area Subcommittees this academic year.  </w:t>
      </w:r>
      <w:r w:rsidR="000875B1">
        <w:rPr>
          <w:rFonts w:asciiTheme="majorHAnsi" w:hAnsiTheme="majorHAnsi"/>
        </w:rPr>
        <w:t xml:space="preserve">The members of the IEC were taxed in their efforts directly to the IEC.  </w:t>
      </w:r>
      <w:r w:rsidRPr="009F433E">
        <w:rPr>
          <w:rFonts w:asciiTheme="majorHAnsi" w:hAnsiTheme="majorHAnsi"/>
        </w:rPr>
        <w:t>Despite all of that, some of the established sub-committees continued their many activities; others were not able to meet.  During 20</w:t>
      </w:r>
      <w:r w:rsidR="000875B1">
        <w:rPr>
          <w:rFonts w:asciiTheme="majorHAnsi" w:hAnsiTheme="majorHAnsi"/>
        </w:rPr>
        <w:t>10-11</w:t>
      </w:r>
      <w:r w:rsidRPr="009F433E">
        <w:rPr>
          <w:rFonts w:asciiTheme="majorHAnsi" w:hAnsiTheme="majorHAnsi"/>
        </w:rPr>
        <w:t xml:space="preserve"> the most active area sub-committees that organized numerous educational events and research projects on campus were: South Asian Studies and Middle East/Near East Studies. </w:t>
      </w:r>
    </w:p>
    <w:p w:rsidR="000875B1" w:rsidRDefault="000875B1" w:rsidP="00792587">
      <w:pPr>
        <w:spacing w:after="0" w:line="240" w:lineRule="auto"/>
        <w:rPr>
          <w:rFonts w:asciiTheme="majorHAnsi" w:hAnsiTheme="majorHAnsi"/>
        </w:rPr>
      </w:pPr>
    </w:p>
    <w:p w:rsidR="000875B1" w:rsidRDefault="000875B1" w:rsidP="000875B1">
      <w:pPr>
        <w:spacing w:after="0" w:line="240" w:lineRule="auto"/>
        <w:rPr>
          <w:rFonts w:asciiTheme="majorHAnsi" w:hAnsiTheme="majorHAnsi"/>
          <w:b/>
        </w:rPr>
      </w:pPr>
      <w:r w:rsidRPr="000875B1">
        <w:rPr>
          <w:rFonts w:asciiTheme="majorHAnsi" w:hAnsiTheme="majorHAnsi"/>
          <w:b/>
        </w:rPr>
        <w:t>IEC Beachboard Site:</w:t>
      </w:r>
      <w:r>
        <w:rPr>
          <w:rFonts w:asciiTheme="majorHAnsi" w:hAnsiTheme="majorHAnsi"/>
          <w:b/>
        </w:rPr>
        <w:t xml:space="preserve"> </w:t>
      </w:r>
    </w:p>
    <w:p w:rsidR="000875B1" w:rsidRPr="000875B1" w:rsidRDefault="000875B1" w:rsidP="000875B1">
      <w:pPr>
        <w:spacing w:after="0" w:line="240" w:lineRule="auto"/>
        <w:rPr>
          <w:rFonts w:asciiTheme="majorHAnsi" w:hAnsiTheme="majorHAnsi"/>
        </w:rPr>
      </w:pPr>
      <w:r w:rsidRPr="000875B1">
        <w:rPr>
          <w:rFonts w:asciiTheme="majorHAnsi" w:hAnsiTheme="majorHAnsi"/>
        </w:rPr>
        <w:t xml:space="preserve">Prior to the start of the 2010-11 academic year the Chair and Vice-Chair, with the support of Leslie Kennedy acting both as recording secretary for the IEC and the CSULB Director of Technology, reconstituted the IEC Beachboard site.  It became the primary mechanism for communicating with members and the agenda and minutes could be posted to it.  Towards the end of the year the “old” site, which is comprised of some 300+ people on campus with interests in international education, was reconstituted to create an international education listserv to disseminate information about international education (rather than serve the IEC).  The Chair of the IEC and a representative from CCPE co-host the list.  </w:t>
      </w:r>
    </w:p>
    <w:p w:rsidR="000875B1" w:rsidRDefault="000875B1" w:rsidP="00792587">
      <w:pPr>
        <w:spacing w:after="0" w:line="240" w:lineRule="auto"/>
        <w:rPr>
          <w:rFonts w:asciiTheme="majorHAnsi" w:hAnsiTheme="majorHAnsi"/>
        </w:rPr>
      </w:pPr>
    </w:p>
    <w:p w:rsidR="000875B1" w:rsidRDefault="000875B1" w:rsidP="00792587">
      <w:pPr>
        <w:spacing w:after="0" w:line="240" w:lineRule="auto"/>
        <w:rPr>
          <w:rFonts w:asciiTheme="majorHAnsi" w:hAnsiTheme="majorHAnsi"/>
          <w:b/>
        </w:rPr>
      </w:pPr>
      <w:r>
        <w:rPr>
          <w:rFonts w:asciiTheme="majorHAnsi" w:hAnsiTheme="majorHAnsi"/>
          <w:b/>
        </w:rPr>
        <w:t>Elections:</w:t>
      </w:r>
    </w:p>
    <w:p w:rsidR="000875B1" w:rsidRDefault="000875B1" w:rsidP="00792587">
      <w:pPr>
        <w:spacing w:after="0" w:line="240" w:lineRule="auto"/>
        <w:rPr>
          <w:rFonts w:asciiTheme="majorHAnsi" w:hAnsiTheme="majorHAnsi"/>
        </w:rPr>
      </w:pPr>
      <w:r>
        <w:rPr>
          <w:rFonts w:asciiTheme="majorHAnsi" w:hAnsiTheme="majorHAnsi"/>
        </w:rPr>
        <w:t>Elections for officers were held at the May meeting.  The Chair, Richard Marcus (Liberal Arts) and the Vice-Chair, Laura Portnoi (Education) found over the course of the academic year that they had very complimentary skill-sets</w:t>
      </w:r>
      <w:r w:rsidR="003C4660">
        <w:rPr>
          <w:rFonts w:asciiTheme="majorHAnsi" w:hAnsiTheme="majorHAnsi"/>
        </w:rPr>
        <w:t xml:space="preserve">.  They ran </w:t>
      </w:r>
      <w:r>
        <w:rPr>
          <w:rFonts w:asciiTheme="majorHAnsi" w:hAnsiTheme="majorHAnsi"/>
        </w:rPr>
        <w:t xml:space="preserve"> </w:t>
      </w:r>
      <w:r w:rsidR="003C4660">
        <w:rPr>
          <w:rFonts w:asciiTheme="majorHAnsi" w:hAnsiTheme="majorHAnsi"/>
        </w:rPr>
        <w:t>as</w:t>
      </w:r>
      <w:r>
        <w:rPr>
          <w:rFonts w:asciiTheme="majorHAnsi" w:hAnsiTheme="majorHAnsi"/>
        </w:rPr>
        <w:t xml:space="preserve"> co-chairs for 2011-12.  They were elected co-chairs with Leslie Kennedy elected as vice-chair and Mark Washburn (Business) elected recording secretary.  The IEC membership voted </w:t>
      </w:r>
      <w:r w:rsidR="003C4660">
        <w:rPr>
          <w:rFonts w:asciiTheme="majorHAnsi" w:hAnsiTheme="majorHAnsi"/>
        </w:rPr>
        <w:t xml:space="preserve">unanimously </w:t>
      </w:r>
      <w:r>
        <w:rPr>
          <w:rFonts w:asciiTheme="majorHAnsi" w:hAnsiTheme="majorHAnsi"/>
        </w:rPr>
        <w:t>to give them a mandate to actuate many of the changes created in 2010-11.</w:t>
      </w:r>
    </w:p>
    <w:p w:rsidR="003C4660" w:rsidRDefault="003C4660" w:rsidP="003C4660">
      <w:pPr>
        <w:spacing w:after="0" w:line="240" w:lineRule="auto"/>
        <w:rPr>
          <w:rFonts w:asciiTheme="majorHAnsi" w:hAnsiTheme="majorHAnsi"/>
        </w:rPr>
      </w:pPr>
      <w:r>
        <w:rPr>
          <w:rFonts w:asciiTheme="majorHAnsi" w:hAnsiTheme="majorHAnsi"/>
          <w:b/>
        </w:rPr>
        <w:t>Appendix A: Guidelines for the Incentive Award for Globalizing Instruction</w:t>
      </w:r>
    </w:p>
    <w:p w:rsidR="00B0549D" w:rsidRDefault="00DA7C63" w:rsidP="00792587">
      <w:pPr>
        <w:spacing w:after="0" w:line="240" w:lineRule="auto"/>
        <w:rPr>
          <w:rFonts w:asciiTheme="majorHAnsi" w:hAnsiTheme="majorHAnsi"/>
          <w:b/>
        </w:rPr>
        <w:sectPr w:rsidR="00B0549D">
          <w:type w:val="continuous"/>
          <w:pgSz w:w="12240" w:h="15840"/>
          <w:pgMar w:top="1440" w:right="1440" w:bottom="1440" w:left="1440" w:header="720" w:footer="720" w:gutter="0"/>
          <w:cols w:space="720"/>
        </w:sectPr>
      </w:pPr>
      <w:r>
        <w:rPr>
          <w:rFonts w:asciiTheme="majorHAnsi" w:hAnsiTheme="majorHAnsi"/>
          <w:b/>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286385</wp:posOffset>
            </wp:positionV>
            <wp:extent cx="5943600" cy="7924800"/>
            <wp:effectExtent l="25400" t="0" r="0" b="0"/>
            <wp:wrapTight wrapText="bothSides">
              <wp:wrapPolygon edited="0">
                <wp:start x="-92" y="0"/>
                <wp:lineTo x="-92" y="21531"/>
                <wp:lineTo x="21600" y="21531"/>
                <wp:lineTo x="21600" y="0"/>
                <wp:lineTo x="-9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7924800"/>
                    </a:xfrm>
                    <a:prstGeom prst="rect">
                      <a:avLst/>
                    </a:prstGeom>
                    <a:noFill/>
                    <a:ln w="9525">
                      <a:noFill/>
                      <a:miter lim="800000"/>
                      <a:headEnd/>
                      <a:tailEnd/>
                    </a:ln>
                  </pic:spPr>
                </pic:pic>
              </a:graphicData>
            </a:graphic>
          </wp:anchor>
        </w:drawing>
      </w:r>
      <w:r w:rsidR="003C4660">
        <w:rPr>
          <w:rFonts w:asciiTheme="majorHAnsi" w:hAnsiTheme="majorHAnsi"/>
          <w:b/>
        </w:rPr>
        <w:br w:type="page"/>
      </w:r>
      <w:r w:rsidRPr="00DA7C63">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228600</wp:posOffset>
            </wp:positionV>
            <wp:extent cx="6400800" cy="2998470"/>
            <wp:effectExtent l="25400" t="0" r="0" b="0"/>
            <wp:wrapTight wrapText="bothSides">
              <wp:wrapPolygon edited="0">
                <wp:start x="-86" y="0"/>
                <wp:lineTo x="-86" y="21408"/>
                <wp:lineTo x="21600" y="21408"/>
                <wp:lineTo x="21600" y="0"/>
                <wp:lineTo x="-8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400800" cy="2998470"/>
                    </a:xfrm>
                    <a:prstGeom prst="rect">
                      <a:avLst/>
                    </a:prstGeom>
                    <a:noFill/>
                    <a:ln w="9525">
                      <a:noFill/>
                      <a:miter lim="800000"/>
                      <a:headEnd/>
                      <a:tailEnd/>
                    </a:ln>
                  </pic:spPr>
                </pic:pic>
              </a:graphicData>
            </a:graphic>
          </wp:anchor>
        </w:drawing>
      </w:r>
    </w:p>
    <w:p w:rsidR="00DA7C63" w:rsidRDefault="003C4660" w:rsidP="00792587">
      <w:pPr>
        <w:spacing w:after="0" w:line="240" w:lineRule="auto"/>
        <w:rPr>
          <w:rFonts w:asciiTheme="majorHAnsi" w:hAnsiTheme="majorHAnsi"/>
          <w:b/>
        </w:rPr>
      </w:pPr>
      <w:r>
        <w:rPr>
          <w:rFonts w:asciiTheme="majorHAnsi" w:hAnsiTheme="majorHAnsi"/>
          <w:b/>
        </w:rPr>
        <w:t xml:space="preserve">Appendix B: Recipients of an Incentive Award for Globalizing </w:t>
      </w:r>
      <w:r w:rsidR="00DA7C63">
        <w:rPr>
          <w:rFonts w:asciiTheme="majorHAnsi" w:hAnsiTheme="majorHAnsi"/>
          <w:b/>
        </w:rPr>
        <w:t>Instruction</w:t>
      </w:r>
    </w:p>
    <w:p w:rsidR="00DA7C63" w:rsidRDefault="00B0549D" w:rsidP="00792587">
      <w:pPr>
        <w:spacing w:after="0" w:line="240" w:lineRule="auto"/>
        <w:rPr>
          <w:rFonts w:asciiTheme="majorHAnsi" w:hAnsiTheme="majorHAnsi"/>
          <w:b/>
        </w:rPr>
      </w:pPr>
      <w:r>
        <w:rPr>
          <w:rFonts w:asciiTheme="majorHAnsi" w:hAnsiTheme="majorHAnsi"/>
          <w:b/>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19050</wp:posOffset>
            </wp:positionV>
            <wp:extent cx="8001000" cy="5472430"/>
            <wp:effectExtent l="25400" t="0" r="0" b="0"/>
            <wp:wrapTight wrapText="bothSides">
              <wp:wrapPolygon edited="0">
                <wp:start x="-69" y="0"/>
                <wp:lineTo x="-69" y="21555"/>
                <wp:lineTo x="21600" y="21555"/>
                <wp:lineTo x="21600" y="0"/>
                <wp:lineTo x="-6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8001000" cy="5472430"/>
                    </a:xfrm>
                    <a:prstGeom prst="rect">
                      <a:avLst/>
                    </a:prstGeom>
                    <a:noFill/>
                    <a:ln w="9525">
                      <a:noFill/>
                      <a:miter lim="800000"/>
                      <a:headEnd/>
                      <a:tailEnd/>
                    </a:ln>
                  </pic:spPr>
                </pic:pic>
              </a:graphicData>
            </a:graphic>
          </wp:anchor>
        </w:drawing>
      </w:r>
    </w:p>
    <w:p w:rsidR="00B0549D" w:rsidRDefault="00B0549D" w:rsidP="00792587">
      <w:pPr>
        <w:spacing w:after="0" w:line="240" w:lineRule="auto"/>
      </w:pPr>
    </w:p>
    <w:p w:rsidR="00B0549D" w:rsidRDefault="00B0549D" w:rsidP="00792587">
      <w:pPr>
        <w:spacing w:after="0" w:line="240" w:lineRule="auto"/>
      </w:pPr>
    </w:p>
    <w:p w:rsidR="00B0549D" w:rsidRDefault="00B0549D" w:rsidP="00792587">
      <w:pPr>
        <w:spacing w:after="0" w:line="240" w:lineRule="auto"/>
      </w:pPr>
      <w:r>
        <w:br w:type="page"/>
      </w:r>
      <w:r w:rsidRPr="00B0549D">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-228600</wp:posOffset>
            </wp:positionV>
            <wp:extent cx="8223250" cy="5906770"/>
            <wp:effectExtent l="25400" t="0" r="6350" b="0"/>
            <wp:wrapTight wrapText="bothSides">
              <wp:wrapPolygon edited="0">
                <wp:start x="-67" y="0"/>
                <wp:lineTo x="-67" y="21549"/>
                <wp:lineTo x="21617" y="21549"/>
                <wp:lineTo x="21617" y="0"/>
                <wp:lineTo x="-6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8223250" cy="5906770"/>
                    </a:xfrm>
                    <a:prstGeom prst="rect">
                      <a:avLst/>
                    </a:prstGeom>
                    <a:noFill/>
                    <a:ln w="9525">
                      <a:noFill/>
                      <a:miter lim="800000"/>
                      <a:headEnd/>
                      <a:tailEnd/>
                    </a:ln>
                  </pic:spPr>
                </pic:pic>
              </a:graphicData>
            </a:graphic>
          </wp:anchor>
        </w:drawing>
      </w:r>
    </w:p>
    <w:p w:rsidR="00B0549D" w:rsidRDefault="00B0549D" w:rsidP="00792587">
      <w:pPr>
        <w:spacing w:after="0" w:line="240" w:lineRule="auto"/>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-228600</wp:posOffset>
            </wp:positionV>
            <wp:extent cx="8223250" cy="4135755"/>
            <wp:effectExtent l="25400" t="0" r="6350" b="0"/>
            <wp:wrapTight wrapText="bothSides">
              <wp:wrapPolygon edited="0">
                <wp:start x="-67" y="0"/>
                <wp:lineTo x="-67" y="21491"/>
                <wp:lineTo x="21617" y="21491"/>
                <wp:lineTo x="21617" y="0"/>
                <wp:lineTo x="-6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8223250" cy="4135755"/>
                    </a:xfrm>
                    <a:prstGeom prst="rect">
                      <a:avLst/>
                    </a:prstGeom>
                    <a:noFill/>
                    <a:ln w="9525">
                      <a:noFill/>
                      <a:miter lim="800000"/>
                      <a:headEnd/>
                      <a:tailEnd/>
                    </a:ln>
                  </pic:spPr>
                </pic:pic>
              </a:graphicData>
            </a:graphic>
          </wp:anchor>
        </w:drawing>
      </w:r>
    </w:p>
    <w:p w:rsidR="00B0549D" w:rsidRDefault="00B0549D" w:rsidP="00792587">
      <w:pPr>
        <w:spacing w:after="0" w:line="240" w:lineRule="auto"/>
      </w:pPr>
    </w:p>
    <w:p w:rsidR="00792587" w:rsidRPr="000875B1" w:rsidRDefault="00792587" w:rsidP="00792587">
      <w:pPr>
        <w:spacing w:after="0" w:line="240" w:lineRule="auto"/>
        <w:rPr>
          <w:rFonts w:asciiTheme="majorHAnsi" w:hAnsiTheme="majorHAnsi"/>
          <w:b/>
        </w:rPr>
      </w:pPr>
    </w:p>
    <w:sectPr w:rsidR="00792587" w:rsidRPr="000875B1" w:rsidSect="00B0549D">
      <w:type w:val="continuous"/>
      <w:pgSz w:w="15840" w:h="12240" w:orient="landscape"/>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49D" w:rsidRDefault="00B0549D">
      <w:pPr>
        <w:spacing w:after="0" w:line="240" w:lineRule="auto"/>
      </w:pPr>
      <w:r>
        <w:separator/>
      </w:r>
    </w:p>
  </w:endnote>
  <w:endnote w:type="continuationSeparator" w:id="0">
    <w:p w:rsidR="00B0549D" w:rsidRDefault="00B054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Geneva">
    <w:altName w:val="Arial"/>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49D" w:rsidRDefault="008B462F" w:rsidP="00340C56">
    <w:pPr>
      <w:pStyle w:val="Footer"/>
      <w:framePr w:wrap="around" w:vAnchor="text" w:hAnchor="margin" w:xAlign="right" w:y="1"/>
      <w:rPr>
        <w:rStyle w:val="PageNumber"/>
      </w:rPr>
    </w:pPr>
    <w:r>
      <w:rPr>
        <w:rStyle w:val="PageNumber"/>
      </w:rPr>
      <w:fldChar w:fldCharType="begin"/>
    </w:r>
    <w:r w:rsidR="00B0549D">
      <w:rPr>
        <w:rStyle w:val="PageNumber"/>
      </w:rPr>
      <w:instrText xml:space="preserve">PAGE  </w:instrText>
    </w:r>
    <w:r>
      <w:rPr>
        <w:rStyle w:val="PageNumber"/>
      </w:rPr>
      <w:fldChar w:fldCharType="end"/>
    </w:r>
  </w:p>
  <w:p w:rsidR="00B0549D" w:rsidRDefault="00B0549D" w:rsidP="00575E4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49D" w:rsidRDefault="008B462F" w:rsidP="00340C56">
    <w:pPr>
      <w:pStyle w:val="Footer"/>
      <w:framePr w:wrap="around" w:vAnchor="text" w:hAnchor="margin" w:xAlign="right" w:y="1"/>
      <w:rPr>
        <w:rStyle w:val="PageNumber"/>
      </w:rPr>
    </w:pPr>
    <w:r>
      <w:rPr>
        <w:rStyle w:val="PageNumber"/>
      </w:rPr>
      <w:fldChar w:fldCharType="begin"/>
    </w:r>
    <w:r w:rsidR="00B0549D">
      <w:rPr>
        <w:rStyle w:val="PageNumber"/>
      </w:rPr>
      <w:instrText xml:space="preserve">PAGE  </w:instrText>
    </w:r>
    <w:r>
      <w:rPr>
        <w:rStyle w:val="PageNumber"/>
      </w:rPr>
      <w:fldChar w:fldCharType="separate"/>
    </w:r>
    <w:r w:rsidR="000C7BF8">
      <w:rPr>
        <w:rStyle w:val="PageNumber"/>
        <w:noProof/>
      </w:rPr>
      <w:t>1</w:t>
    </w:r>
    <w:r>
      <w:rPr>
        <w:rStyle w:val="PageNumber"/>
      </w:rPr>
      <w:fldChar w:fldCharType="end"/>
    </w:r>
  </w:p>
  <w:p w:rsidR="00B0549D" w:rsidRDefault="00B0549D" w:rsidP="00575E4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49D" w:rsidRDefault="00B0549D">
      <w:pPr>
        <w:spacing w:after="0" w:line="240" w:lineRule="auto"/>
      </w:pPr>
      <w:r>
        <w:separator/>
      </w:r>
    </w:p>
  </w:footnote>
  <w:footnote w:type="continuationSeparator" w:id="0">
    <w:p w:rsidR="00B0549D" w:rsidRDefault="00B054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0082B"/>
    <w:multiLevelType w:val="hybridMultilevel"/>
    <w:tmpl w:val="F9443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EDF7FB6"/>
    <w:multiLevelType w:val="hybridMultilevel"/>
    <w:tmpl w:val="A0CACF68"/>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63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7244D2"/>
    <w:multiLevelType w:val="hybridMultilevel"/>
    <w:tmpl w:val="E7C64F4E"/>
    <w:lvl w:ilvl="0" w:tplc="04090001">
      <w:start w:val="1"/>
      <w:numFmt w:val="bullet"/>
      <w:lvlText w:val=""/>
      <w:lvlJc w:val="left"/>
      <w:pPr>
        <w:ind w:left="1620" w:hanging="360"/>
      </w:pPr>
      <w:rPr>
        <w:rFonts w:ascii="Symbol" w:hAnsi="Symbol"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6CA41893"/>
    <w:multiLevelType w:val="hybridMultilevel"/>
    <w:tmpl w:val="03DECF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F828C3"/>
    <w:multiLevelType w:val="hybridMultilevel"/>
    <w:tmpl w:val="D53AB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792587"/>
    <w:rsid w:val="000875B1"/>
    <w:rsid w:val="000C7BF8"/>
    <w:rsid w:val="001369CB"/>
    <w:rsid w:val="00173BCF"/>
    <w:rsid w:val="001947C4"/>
    <w:rsid w:val="001B7EF3"/>
    <w:rsid w:val="002457B9"/>
    <w:rsid w:val="00340C56"/>
    <w:rsid w:val="003C4660"/>
    <w:rsid w:val="0046344F"/>
    <w:rsid w:val="00575E44"/>
    <w:rsid w:val="00733E8B"/>
    <w:rsid w:val="00751EB3"/>
    <w:rsid w:val="00792587"/>
    <w:rsid w:val="00880F61"/>
    <w:rsid w:val="008B3D01"/>
    <w:rsid w:val="008B462F"/>
    <w:rsid w:val="009F433E"/>
    <w:rsid w:val="00A132CD"/>
    <w:rsid w:val="00A56487"/>
    <w:rsid w:val="00B0549D"/>
    <w:rsid w:val="00B82A23"/>
    <w:rsid w:val="00CA7F0B"/>
    <w:rsid w:val="00DA7C63"/>
    <w:rsid w:val="00F24753"/>
    <w:rsid w:val="00F5200A"/>
    <w:rsid w:val="00F8249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ubtitle" w:qFormat="1"/>
    <w:lsdException w:name="Hyperlink" w:uiPriority="99"/>
    <w:lsdException w:name="FollowedHyperlink" w:uiPriority="99"/>
  </w:latentStyles>
  <w:style w:type="paragraph" w:default="1" w:styleId="Normal">
    <w:name w:val="Normal"/>
    <w:qFormat/>
    <w:rsid w:val="00792587"/>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73BCF"/>
    <w:pPr>
      <w:spacing w:beforeLines="1" w:afterLines="1" w:line="240" w:lineRule="auto"/>
    </w:pPr>
    <w:rPr>
      <w:rFonts w:ascii="Times" w:eastAsia="Cambria" w:hAnsi="Times"/>
      <w:sz w:val="20"/>
      <w:szCs w:val="20"/>
    </w:rPr>
  </w:style>
  <w:style w:type="character" w:styleId="Strong">
    <w:name w:val="Strong"/>
    <w:uiPriority w:val="22"/>
    <w:rsid w:val="00173BCF"/>
    <w:rPr>
      <w:b/>
    </w:rPr>
  </w:style>
  <w:style w:type="character" w:styleId="Hyperlink">
    <w:name w:val="Hyperlink"/>
    <w:uiPriority w:val="99"/>
    <w:rsid w:val="00173BCF"/>
    <w:rPr>
      <w:color w:val="0000FF"/>
      <w:u w:val="single"/>
    </w:rPr>
  </w:style>
  <w:style w:type="character" w:customStyle="1" w:styleId="apple-style-span">
    <w:name w:val="apple-style-span"/>
    <w:basedOn w:val="DefaultParagraphFont"/>
    <w:rsid w:val="009F433E"/>
  </w:style>
  <w:style w:type="paragraph" w:styleId="Footer">
    <w:name w:val="footer"/>
    <w:basedOn w:val="Normal"/>
    <w:link w:val="FooterChar"/>
    <w:uiPriority w:val="99"/>
    <w:unhideWhenUsed/>
    <w:rsid w:val="00575E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575E44"/>
    <w:rPr>
      <w:rFonts w:ascii="Calibri" w:eastAsia="Calibri" w:hAnsi="Calibri" w:cs="Times New Roman"/>
      <w:sz w:val="22"/>
      <w:szCs w:val="22"/>
    </w:rPr>
  </w:style>
  <w:style w:type="character" w:styleId="PageNumber">
    <w:name w:val="page number"/>
    <w:basedOn w:val="DefaultParagraphFont"/>
    <w:uiPriority w:val="99"/>
    <w:semiHidden/>
    <w:unhideWhenUsed/>
    <w:rsid w:val="00575E44"/>
  </w:style>
  <w:style w:type="character" w:styleId="CommentReference">
    <w:name w:val="annotation reference"/>
    <w:basedOn w:val="DefaultParagraphFont"/>
    <w:uiPriority w:val="99"/>
    <w:semiHidden/>
    <w:unhideWhenUsed/>
    <w:rsid w:val="00340C56"/>
    <w:rPr>
      <w:sz w:val="18"/>
      <w:szCs w:val="18"/>
    </w:rPr>
  </w:style>
  <w:style w:type="paragraph" w:styleId="CommentText">
    <w:name w:val="annotation text"/>
    <w:basedOn w:val="Normal"/>
    <w:link w:val="CommentTextChar"/>
    <w:uiPriority w:val="99"/>
    <w:semiHidden/>
    <w:unhideWhenUsed/>
    <w:rsid w:val="00340C56"/>
    <w:pPr>
      <w:spacing w:line="240" w:lineRule="auto"/>
    </w:pPr>
    <w:rPr>
      <w:sz w:val="24"/>
      <w:szCs w:val="24"/>
    </w:rPr>
  </w:style>
  <w:style w:type="character" w:customStyle="1" w:styleId="CommentTextChar">
    <w:name w:val="Comment Text Char"/>
    <w:basedOn w:val="DefaultParagraphFont"/>
    <w:link w:val="CommentText"/>
    <w:uiPriority w:val="99"/>
    <w:semiHidden/>
    <w:rsid w:val="00340C56"/>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40C56"/>
    <w:rPr>
      <w:b/>
      <w:bCs/>
      <w:sz w:val="20"/>
      <w:szCs w:val="20"/>
    </w:rPr>
  </w:style>
  <w:style w:type="character" w:customStyle="1" w:styleId="CommentSubjectChar">
    <w:name w:val="Comment Subject Char"/>
    <w:basedOn w:val="CommentTextChar"/>
    <w:link w:val="CommentSubject"/>
    <w:uiPriority w:val="99"/>
    <w:semiHidden/>
    <w:rsid w:val="00340C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340C5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C56"/>
    <w:rPr>
      <w:rFonts w:ascii="Lucida Grande" w:eastAsia="Calibri" w:hAnsi="Lucida Grande" w:cs="Lucida Grande"/>
      <w:sz w:val="18"/>
      <w:szCs w:val="18"/>
    </w:rPr>
  </w:style>
  <w:style w:type="paragraph" w:styleId="BodyText">
    <w:name w:val="Body Text"/>
    <w:basedOn w:val="Normal"/>
    <w:link w:val="BodyTextChar"/>
    <w:rsid w:val="00CA7F0B"/>
    <w:pPr>
      <w:spacing w:after="0" w:line="240" w:lineRule="auto"/>
    </w:pPr>
    <w:rPr>
      <w:rFonts w:ascii="Times New Roman" w:eastAsia="Times New Roman" w:hAnsi="Times New Roman"/>
      <w:szCs w:val="20"/>
    </w:rPr>
  </w:style>
  <w:style w:type="character" w:customStyle="1" w:styleId="BodyTextChar">
    <w:name w:val="Body Text Char"/>
    <w:basedOn w:val="DefaultParagraphFont"/>
    <w:link w:val="BodyText"/>
    <w:rsid w:val="00CA7F0B"/>
    <w:rPr>
      <w:rFonts w:ascii="Times New Roman" w:eastAsia="Times New Roman" w:hAnsi="Times New Roman" w:cs="Times New Roman"/>
      <w:sz w:val="22"/>
      <w:szCs w:val="20"/>
    </w:rPr>
  </w:style>
  <w:style w:type="paragraph" w:styleId="Subtitle">
    <w:name w:val="Subtitle"/>
    <w:basedOn w:val="Normal"/>
    <w:link w:val="SubtitleChar"/>
    <w:qFormat/>
    <w:rsid w:val="00CA7F0B"/>
    <w:pPr>
      <w:tabs>
        <w:tab w:val="left" w:pos="1080"/>
        <w:tab w:val="left" w:pos="1440"/>
      </w:tabs>
      <w:spacing w:after="0" w:line="240" w:lineRule="auto"/>
      <w:ind w:left="540" w:right="-720"/>
      <w:jc w:val="center"/>
    </w:pPr>
    <w:rPr>
      <w:rFonts w:ascii="Geneva" w:eastAsia="Times New Roman" w:hAnsi="Geneva"/>
      <w:b/>
      <w:szCs w:val="20"/>
    </w:rPr>
  </w:style>
  <w:style w:type="character" w:customStyle="1" w:styleId="SubtitleChar">
    <w:name w:val="Subtitle Char"/>
    <w:basedOn w:val="DefaultParagraphFont"/>
    <w:link w:val="Subtitle"/>
    <w:rsid w:val="00CA7F0B"/>
    <w:rPr>
      <w:rFonts w:ascii="Geneva" w:eastAsia="Times New Roman" w:hAnsi="Geneva" w:cs="Times New Roman"/>
      <w:b/>
      <w:sz w:val="22"/>
      <w:szCs w:val="20"/>
    </w:rPr>
  </w:style>
  <w:style w:type="character" w:styleId="FollowedHyperlink">
    <w:name w:val="FollowedHyperlink"/>
    <w:basedOn w:val="DefaultParagraphFont"/>
    <w:uiPriority w:val="99"/>
    <w:rsid w:val="00CA7F0B"/>
    <w:rPr>
      <w:color w:val="993366"/>
      <w:u w:val="single"/>
    </w:rPr>
  </w:style>
  <w:style w:type="paragraph" w:customStyle="1" w:styleId="xl65">
    <w:name w:val="xl65"/>
    <w:basedOn w:val="Normal"/>
    <w:rsid w:val="00CA7F0B"/>
    <w:pPr>
      <w:spacing w:beforeLines="1" w:afterLines="1" w:line="240" w:lineRule="auto"/>
      <w:jc w:val="center"/>
    </w:pPr>
    <w:rPr>
      <w:rFonts w:ascii="Times" w:eastAsiaTheme="minorHAnsi" w:hAnsi="Times" w:cstheme="minorBidi"/>
      <w:b/>
      <w:bCs/>
      <w:sz w:val="20"/>
      <w:szCs w:val="20"/>
    </w:rPr>
  </w:style>
  <w:style w:type="paragraph" w:customStyle="1" w:styleId="xl66">
    <w:name w:val="xl66"/>
    <w:basedOn w:val="Normal"/>
    <w:rsid w:val="00CA7F0B"/>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Theme="minorHAnsi" w:hAnsi="Times" w:cstheme="minorBidi"/>
      <w:sz w:val="20"/>
      <w:szCs w:val="20"/>
    </w:rPr>
  </w:style>
  <w:style w:type="paragraph" w:customStyle="1" w:styleId="xl67">
    <w:name w:val="xl67"/>
    <w:basedOn w:val="Normal"/>
    <w:rsid w:val="00CA7F0B"/>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Theme="minorHAnsi" w:hAnsi="Times" w:cstheme="minorBidi"/>
      <w:sz w:val="20"/>
      <w:szCs w:val="20"/>
    </w:rPr>
  </w:style>
  <w:style w:type="paragraph" w:customStyle="1" w:styleId="xl68">
    <w:name w:val="xl68"/>
    <w:basedOn w:val="Normal"/>
    <w:rsid w:val="00CA7F0B"/>
    <w:pPr>
      <w:pBdr>
        <w:top w:val="single" w:sz="4" w:space="0" w:color="auto"/>
        <w:left w:val="single" w:sz="4" w:space="0" w:color="auto"/>
        <w:bottom w:val="single" w:sz="4" w:space="0" w:color="auto"/>
        <w:right w:val="single" w:sz="4" w:space="0" w:color="auto"/>
      </w:pBdr>
      <w:spacing w:beforeLines="1" w:afterLines="1" w:line="240" w:lineRule="auto"/>
    </w:pPr>
    <w:rPr>
      <w:rFonts w:eastAsiaTheme="minorHAnsi" w:cstheme="minorBidi"/>
      <w:sz w:val="18"/>
      <w:szCs w:val="18"/>
    </w:rPr>
  </w:style>
  <w:style w:type="paragraph" w:customStyle="1" w:styleId="xl69">
    <w:name w:val="xl69"/>
    <w:basedOn w:val="Normal"/>
    <w:rsid w:val="00CA7F0B"/>
    <w:pPr>
      <w:pBdr>
        <w:top w:val="single" w:sz="4" w:space="0" w:color="auto"/>
        <w:left w:val="single" w:sz="4" w:space="0" w:color="auto"/>
        <w:bottom w:val="single" w:sz="4" w:space="0" w:color="auto"/>
        <w:right w:val="single" w:sz="4" w:space="0" w:color="auto"/>
      </w:pBdr>
      <w:spacing w:beforeLines="1" w:afterLines="1" w:line="240" w:lineRule="auto"/>
    </w:pPr>
    <w:rPr>
      <w:rFonts w:eastAsiaTheme="minorHAnsi" w:cstheme="minorBid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5173919">
      <w:bodyDiv w:val="1"/>
      <w:marLeft w:val="0"/>
      <w:marRight w:val="0"/>
      <w:marTop w:val="0"/>
      <w:marBottom w:val="0"/>
      <w:divBdr>
        <w:top w:val="none" w:sz="0" w:space="0" w:color="auto"/>
        <w:left w:val="none" w:sz="0" w:space="0" w:color="auto"/>
        <w:bottom w:val="none" w:sz="0" w:space="0" w:color="auto"/>
        <w:right w:val="none" w:sz="0" w:space="0" w:color="auto"/>
      </w:divBdr>
    </w:div>
    <w:div w:id="743063387">
      <w:bodyDiv w:val="1"/>
      <w:marLeft w:val="0"/>
      <w:marRight w:val="0"/>
      <w:marTop w:val="0"/>
      <w:marBottom w:val="0"/>
      <w:divBdr>
        <w:top w:val="none" w:sz="0" w:space="0" w:color="auto"/>
        <w:left w:val="none" w:sz="0" w:space="0" w:color="auto"/>
        <w:bottom w:val="none" w:sz="0" w:space="0" w:color="auto"/>
        <w:right w:val="none" w:sz="0" w:space="0" w:color="auto"/>
      </w:divBdr>
      <w:divsChild>
        <w:div w:id="1363164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261373230">
      <w:bodyDiv w:val="1"/>
      <w:marLeft w:val="0"/>
      <w:marRight w:val="0"/>
      <w:marTop w:val="0"/>
      <w:marBottom w:val="0"/>
      <w:divBdr>
        <w:top w:val="none" w:sz="0" w:space="0" w:color="auto"/>
        <w:left w:val="none" w:sz="0" w:space="0" w:color="auto"/>
        <w:bottom w:val="none" w:sz="0" w:space="0" w:color="auto"/>
        <w:right w:val="none" w:sz="0" w:space="0" w:color="auto"/>
      </w:divBdr>
    </w:div>
    <w:div w:id="16285878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csulb.edu/abou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2074</Words>
  <Characters>11823</Characters>
  <Application>Microsoft Office Word</Application>
  <DocSecurity>0</DocSecurity>
  <Lines>98</Lines>
  <Paragraphs>27</Paragraphs>
  <ScaleCrop>false</ScaleCrop>
  <Company>CSU, Long Beach</Company>
  <LinksUpToDate>false</LinksUpToDate>
  <CharactersWithSpaces>13870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Marcus</dc:creator>
  <cp:keywords/>
  <cp:lastModifiedBy>jalexan2</cp:lastModifiedBy>
  <cp:revision>2</cp:revision>
  <dcterms:created xsi:type="dcterms:W3CDTF">2011-07-13T15:56:00Z</dcterms:created>
  <dcterms:modified xsi:type="dcterms:W3CDTF">2011-07-13T15:56:00Z</dcterms:modified>
</cp:coreProperties>
</file>