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42E8DF" w14:textId="77777777" w:rsidR="009F3D8E" w:rsidRDefault="009F3D8E">
      <w:pPr>
        <w:pStyle w:val="Header"/>
        <w:suppressLineNumbers/>
        <w:tabs>
          <w:tab w:val="clear" w:pos="4320"/>
          <w:tab w:val="clear" w:pos="8640"/>
        </w:tabs>
      </w:pPr>
    </w:p>
    <w:p w14:paraId="4AEC8894" w14:textId="174120F9" w:rsidR="008D7086" w:rsidRDefault="0036628A" w:rsidP="0017329E">
      <w:pPr>
        <w:pStyle w:val="Heading1"/>
        <w:suppressLineNumbers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AS-3110-13/FGA</w:t>
      </w:r>
      <w:r w:rsidR="008612F6">
        <w:rPr>
          <w:b w:val="0"/>
          <w:bCs w:val="0"/>
          <w:sz w:val="24"/>
        </w:rPr>
        <w:t xml:space="preserve"> (Rev)</w:t>
      </w:r>
    </w:p>
    <w:p w14:paraId="6F40803C" w14:textId="77777777" w:rsidR="008D7086" w:rsidRDefault="008D7086" w:rsidP="008D7086">
      <w:pPr>
        <w:pStyle w:val="BodyText2"/>
        <w:suppressLineNumbers/>
        <w:tabs>
          <w:tab w:val="right" w:pos="936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820F2E">
        <w:rPr>
          <w:b w:val="0"/>
          <w:bCs w:val="0"/>
          <w:sz w:val="24"/>
        </w:rPr>
        <w:t>January 17-18, 2013</w:t>
      </w:r>
    </w:p>
    <w:p w14:paraId="7A9B03F0" w14:textId="297F2638" w:rsidR="0036628A" w:rsidRDefault="0036628A" w:rsidP="008D7086">
      <w:pPr>
        <w:pStyle w:val="BodyText2"/>
        <w:suppressLineNumbers/>
        <w:tabs>
          <w:tab w:val="right" w:pos="9360"/>
        </w:tabs>
        <w:rPr>
          <w:b w:val="0"/>
          <w:bCs w:val="0"/>
          <w:sz w:val="24"/>
        </w:rPr>
      </w:pPr>
      <w:r>
        <w:rPr>
          <w:b w:val="0"/>
          <w:bCs w:val="0"/>
          <w:sz w:val="24"/>
        </w:rPr>
        <w:tab/>
      </w:r>
      <w:r w:rsidR="008612F6">
        <w:rPr>
          <w:b w:val="0"/>
          <w:bCs w:val="0"/>
          <w:sz w:val="24"/>
        </w:rPr>
        <w:t>Second</w:t>
      </w:r>
      <w:r>
        <w:rPr>
          <w:b w:val="0"/>
          <w:bCs w:val="0"/>
          <w:sz w:val="24"/>
        </w:rPr>
        <w:t xml:space="preserve"> Reading</w:t>
      </w:r>
    </w:p>
    <w:p w14:paraId="18848246" w14:textId="77777777" w:rsidR="008D7086" w:rsidRDefault="008D7086" w:rsidP="008D7086">
      <w:pPr>
        <w:pStyle w:val="BodyText2"/>
        <w:suppressLineNumbers/>
        <w:rPr>
          <w:b w:val="0"/>
          <w:bCs w:val="0"/>
          <w:sz w:val="24"/>
        </w:rPr>
      </w:pPr>
    </w:p>
    <w:p w14:paraId="2E86704D" w14:textId="78A6D351" w:rsidR="009F3D8E" w:rsidRDefault="00FE6DD9" w:rsidP="00A932FA">
      <w:pPr>
        <w:pStyle w:val="BodyText2"/>
        <w:suppressLineNumbers/>
        <w:spacing w:after="160"/>
      </w:pPr>
      <w:r>
        <w:t>C</w:t>
      </w:r>
      <w:r w:rsidR="00394D86">
        <w:t>alifornia State University (CS</w:t>
      </w:r>
      <w:r>
        <w:t>U</w:t>
      </w:r>
      <w:r w:rsidR="00394D86">
        <w:t>)</w:t>
      </w:r>
      <w:r>
        <w:t xml:space="preserve"> action on </w:t>
      </w:r>
      <w:r w:rsidR="00C71507">
        <w:t>Environmental Sustainability</w:t>
      </w:r>
    </w:p>
    <w:p w14:paraId="3CB93AEB" w14:textId="0CBBAF81" w:rsidR="00210A19" w:rsidRDefault="00C2079E" w:rsidP="008F1CFF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160" w:line="480" w:lineRule="auto"/>
        <w:ind w:left="450"/>
      </w:pPr>
      <w:r>
        <w:t>RESOLVED:  That the ASCSU comme</w:t>
      </w:r>
      <w:r w:rsidR="00066E24">
        <w:t>nd California State University campuses</w:t>
      </w:r>
      <w:r>
        <w:t xml:space="preserve"> at Pomona, Bakersfield, Chico, Fullerton, Long Beach and Monterey Bay and the San Francisco State University </w:t>
      </w:r>
      <w:r w:rsidR="00066E24">
        <w:t xml:space="preserve">campus </w:t>
      </w:r>
      <w:r>
        <w:t xml:space="preserve">for </w:t>
      </w:r>
      <w:r w:rsidR="000D0829">
        <w:t xml:space="preserve">committing to environmental sustainability by </w:t>
      </w:r>
      <w:r>
        <w:t xml:space="preserve">signing the </w:t>
      </w:r>
      <w:r w:rsidR="008E0858">
        <w:t xml:space="preserve">American College </w:t>
      </w:r>
      <w:r w:rsidR="008E0858">
        <w:rPr>
          <w:rStyle w:val="amp"/>
        </w:rPr>
        <w:t>&amp;</w:t>
      </w:r>
      <w:r w:rsidR="008E0858">
        <w:t xml:space="preserve"> University</w:t>
      </w:r>
      <w:r w:rsidR="00394D86">
        <w:t xml:space="preserve"> Presidents’ </w:t>
      </w:r>
      <w:r w:rsidR="008F1CFF">
        <w:t>Climate Commitment</w:t>
      </w:r>
      <w:r w:rsidR="00210A19">
        <w:t>; and be it further</w:t>
      </w:r>
    </w:p>
    <w:p w14:paraId="183AAD16" w14:textId="6EB7BC37" w:rsidR="008F1CFF" w:rsidRDefault="00394D86" w:rsidP="008F1CFF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160" w:line="480" w:lineRule="auto"/>
        <w:ind w:left="450"/>
      </w:pPr>
      <w:r>
        <w:t>RESOLVED: T</w:t>
      </w:r>
      <w:r w:rsidR="008F1CFF">
        <w:t xml:space="preserve">hat </w:t>
      </w:r>
      <w:r>
        <w:t>the ASCSU comme</w:t>
      </w:r>
      <w:r w:rsidR="00066E24">
        <w:t>nd California State University campuses</w:t>
      </w:r>
      <w:r>
        <w:t xml:space="preserve"> at San Luis Obispo, Channel Islands, Chico, Fullerton and the San Jose State University </w:t>
      </w:r>
      <w:r w:rsidR="00066E24">
        <w:t xml:space="preserve">campus </w:t>
      </w:r>
      <w:r>
        <w:t xml:space="preserve">for </w:t>
      </w:r>
      <w:r w:rsidR="000148C4">
        <w:t xml:space="preserve">committing to environmental sustainability by </w:t>
      </w:r>
      <w:r>
        <w:t xml:space="preserve">signing the </w:t>
      </w:r>
      <w:proofErr w:type="spellStart"/>
      <w:r>
        <w:t>Talloires</w:t>
      </w:r>
      <w:proofErr w:type="spellEnd"/>
      <w:r>
        <w:t xml:space="preserve"> Declaration; and be it further</w:t>
      </w:r>
    </w:p>
    <w:p w14:paraId="69318D28" w14:textId="5E2E15C8" w:rsidR="009F3D8E" w:rsidRDefault="00394D86" w:rsidP="00394D86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160" w:line="480" w:lineRule="auto"/>
        <w:ind w:left="450"/>
      </w:pPr>
      <w:r>
        <w:t xml:space="preserve">RESOLVED:  </w:t>
      </w:r>
      <w:r w:rsidR="00F034A4">
        <w:t xml:space="preserve">That the ASCSU recommend </w:t>
      </w:r>
      <w:r>
        <w:t xml:space="preserve">that </w:t>
      </w:r>
      <w:r w:rsidR="00F034A4">
        <w:t xml:space="preserve">the </w:t>
      </w:r>
      <w:r>
        <w:t xml:space="preserve">CSU </w:t>
      </w:r>
      <w:r w:rsidR="00F034A4">
        <w:t xml:space="preserve">Chancellor’s Office and other CSU campuses </w:t>
      </w:r>
      <w:r w:rsidR="00307AC8">
        <w:t>consider becoming</w:t>
      </w:r>
      <w:r w:rsidR="00F034A4">
        <w:t xml:space="preserve"> signatories of either the </w:t>
      </w:r>
      <w:r w:rsidR="00084B96">
        <w:t>American College and University Presidents’ Climate Commitment</w:t>
      </w:r>
      <w:r w:rsidR="00F034A4">
        <w:t xml:space="preserve"> or the </w:t>
      </w:r>
      <w:proofErr w:type="spellStart"/>
      <w:r w:rsidR="00F034A4">
        <w:t>T</w:t>
      </w:r>
      <w:r w:rsidR="00084B96">
        <w:t>alloires</w:t>
      </w:r>
      <w:proofErr w:type="spellEnd"/>
      <w:r w:rsidR="00084B96">
        <w:t xml:space="preserve"> </w:t>
      </w:r>
      <w:r w:rsidR="00F034A4">
        <w:t>D</w:t>
      </w:r>
      <w:r w:rsidR="00084B96">
        <w:t>eclaration</w:t>
      </w:r>
      <w:r w:rsidR="00F034A4">
        <w:t xml:space="preserve"> so that </w:t>
      </w:r>
      <w:r w:rsidR="00084B96">
        <w:t xml:space="preserve">the </w:t>
      </w:r>
      <w:r w:rsidR="00F034A4">
        <w:t xml:space="preserve">CSU system may be a leader among educational institutions in </w:t>
      </w:r>
      <w:r w:rsidR="00066E24">
        <w:t xml:space="preserve">combating global warming and </w:t>
      </w:r>
      <w:r w:rsidR="000148C4">
        <w:t>creating a sustainable environment</w:t>
      </w:r>
      <w:r w:rsidR="00F034A4">
        <w:t>; and be it further</w:t>
      </w:r>
    </w:p>
    <w:p w14:paraId="2D0120CF" w14:textId="1A68C88A" w:rsidR="00B039BB" w:rsidRDefault="00F273E9" w:rsidP="00084B96">
      <w:pPr>
        <w:pStyle w:val="ListParagraph"/>
        <w:numPr>
          <w:ilvl w:val="0"/>
          <w:numId w:val="5"/>
        </w:numPr>
        <w:tabs>
          <w:tab w:val="left" w:pos="450"/>
          <w:tab w:val="left" w:pos="1890"/>
        </w:tabs>
        <w:spacing w:after="160" w:line="480" w:lineRule="auto"/>
        <w:ind w:left="450"/>
      </w:pPr>
      <w:r>
        <w:t>RESOLVED:</w:t>
      </w:r>
      <w:r>
        <w:tab/>
      </w:r>
      <w:r w:rsidR="00A81CAE">
        <w:t>That the ASCSU distribute this resolution to</w:t>
      </w:r>
      <w:r w:rsidR="00B039BB">
        <w:t>:</w:t>
      </w:r>
      <w:r w:rsidR="00307BA3">
        <w:t xml:space="preserve"> </w:t>
      </w:r>
    </w:p>
    <w:p w14:paraId="1F54608B" w14:textId="0BD75656" w:rsidR="00E63568" w:rsidRPr="00E63568" w:rsidRDefault="00A81CAE" w:rsidP="00A932FA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ind w:left="810"/>
        <w:contextualSpacing w:val="0"/>
        <w:rPr>
          <w:u w:val="single"/>
        </w:rPr>
      </w:pPr>
      <w:r>
        <w:t xml:space="preserve">the </w:t>
      </w:r>
      <w:r w:rsidR="00307BA3">
        <w:t xml:space="preserve">CSU </w:t>
      </w:r>
      <w:r>
        <w:t xml:space="preserve">Board of Trustees, </w:t>
      </w:r>
    </w:p>
    <w:p w14:paraId="030888F2" w14:textId="77777777" w:rsidR="00E63568" w:rsidRPr="00A932FA" w:rsidRDefault="00A81CAE" w:rsidP="00A932FA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ind w:left="810"/>
        <w:contextualSpacing w:val="0"/>
      </w:pPr>
      <w:r>
        <w:t xml:space="preserve">the Office of the Chancellor, </w:t>
      </w:r>
    </w:p>
    <w:p w14:paraId="797A5439" w14:textId="77777777" w:rsidR="00E63568" w:rsidRPr="00A932FA" w:rsidRDefault="00A26F77" w:rsidP="00A932FA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ind w:left="810"/>
        <w:contextualSpacing w:val="0"/>
      </w:pPr>
      <w:r>
        <w:t xml:space="preserve">the Chancellor, </w:t>
      </w:r>
    </w:p>
    <w:p w14:paraId="64FE0445" w14:textId="0C44E7BF" w:rsidR="00E63568" w:rsidRPr="00A932FA" w:rsidRDefault="00A81CAE" w:rsidP="00A932FA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ind w:left="810"/>
        <w:contextualSpacing w:val="0"/>
      </w:pPr>
      <w:r>
        <w:t>campus Presidents</w:t>
      </w:r>
      <w:r w:rsidR="00257DD0">
        <w:t xml:space="preserve"> and Provosts</w:t>
      </w:r>
      <w:r>
        <w:t>,</w:t>
      </w:r>
      <w:r w:rsidR="00820BAD">
        <w:t xml:space="preserve"> and</w:t>
      </w:r>
      <w:r>
        <w:t xml:space="preserve"> </w:t>
      </w:r>
    </w:p>
    <w:p w14:paraId="3CB0B184" w14:textId="24022407" w:rsidR="00E63568" w:rsidRPr="00A932FA" w:rsidRDefault="003B2841" w:rsidP="00257DD0">
      <w:pPr>
        <w:pStyle w:val="ListParagraph"/>
        <w:numPr>
          <w:ilvl w:val="0"/>
          <w:numId w:val="6"/>
        </w:numPr>
        <w:tabs>
          <w:tab w:val="left" w:pos="810"/>
        </w:tabs>
        <w:spacing w:after="80"/>
        <w:ind w:left="810"/>
        <w:contextualSpacing w:val="0"/>
      </w:pPr>
      <w:proofErr w:type="gramStart"/>
      <w:r>
        <w:t>campus</w:t>
      </w:r>
      <w:proofErr w:type="gramEnd"/>
      <w:r>
        <w:t xml:space="preserve"> Senate chairs.</w:t>
      </w:r>
    </w:p>
    <w:p w14:paraId="18F9B9F5" w14:textId="77777777" w:rsidR="002B16C3" w:rsidRDefault="002B16C3" w:rsidP="00197D56">
      <w:pPr>
        <w:tabs>
          <w:tab w:val="left" w:pos="1710"/>
        </w:tabs>
        <w:spacing w:line="480" w:lineRule="auto"/>
        <w:ind w:left="450"/>
        <w:rPr>
          <w:b/>
        </w:rPr>
      </w:pPr>
    </w:p>
    <w:p w14:paraId="045017AE" w14:textId="4D258FC9" w:rsidR="00C64644" w:rsidRDefault="009F3D8E" w:rsidP="00197D56">
      <w:pPr>
        <w:tabs>
          <w:tab w:val="left" w:pos="1710"/>
        </w:tabs>
        <w:spacing w:line="480" w:lineRule="auto"/>
        <w:ind w:left="450"/>
      </w:pPr>
      <w:r w:rsidRPr="00A932FA">
        <w:rPr>
          <w:b/>
        </w:rPr>
        <w:lastRenderedPageBreak/>
        <w:t>RATIONALE</w:t>
      </w:r>
      <w:r>
        <w:rPr>
          <w:rFonts w:ascii="Palatino Linotype" w:hAnsi="Palatino Linotype"/>
        </w:rPr>
        <w:t>:</w:t>
      </w:r>
      <w:r w:rsidR="00F273E9">
        <w:rPr>
          <w:rFonts w:ascii="Palatino Linotype" w:hAnsi="Palatino Linotype"/>
        </w:rPr>
        <w:tab/>
      </w:r>
      <w:r w:rsidR="009C5357">
        <w:rPr>
          <w:rFonts w:ascii="Palatino Linotype" w:hAnsi="Palatino Linotype"/>
        </w:rPr>
        <w:t xml:space="preserve">Information about the </w:t>
      </w:r>
      <w:r w:rsidR="009C5357">
        <w:t xml:space="preserve">American College and University Presidents’ Climate Commitment can be found at the </w:t>
      </w:r>
      <w:r w:rsidR="007F1C01">
        <w:t xml:space="preserve">following website: </w:t>
      </w:r>
    </w:p>
    <w:p w14:paraId="08CF64BD" w14:textId="32D7D983" w:rsidR="00E85434" w:rsidRDefault="004F4667" w:rsidP="00E85434">
      <w:pPr>
        <w:tabs>
          <w:tab w:val="left" w:pos="1710"/>
        </w:tabs>
        <w:spacing w:line="480" w:lineRule="auto"/>
        <w:ind w:left="450"/>
      </w:pPr>
      <w:hyperlink r:id="rId8" w:history="1">
        <w:r w:rsidR="00E85434" w:rsidRPr="00D92D29">
          <w:rPr>
            <w:rStyle w:val="Hyperlink"/>
          </w:rPr>
          <w:t>http://www.presidentsclimatecommitment.org/about/commitment</w:t>
        </w:r>
      </w:hyperlink>
    </w:p>
    <w:p w14:paraId="749AE947" w14:textId="67D0EFC7" w:rsidR="00056E8A" w:rsidRDefault="00197D56" w:rsidP="00197D56">
      <w:pPr>
        <w:tabs>
          <w:tab w:val="left" w:pos="1710"/>
        </w:tabs>
        <w:spacing w:line="480" w:lineRule="auto"/>
        <w:ind w:left="450"/>
      </w:pPr>
      <w:r>
        <w:t xml:space="preserve">Information about the </w:t>
      </w:r>
      <w:proofErr w:type="spellStart"/>
      <w:r w:rsidR="007F1C01">
        <w:t>Talloires</w:t>
      </w:r>
      <w:proofErr w:type="spellEnd"/>
      <w:r w:rsidR="007F1C01">
        <w:t xml:space="preserve"> Declaration</w:t>
      </w:r>
      <w:r>
        <w:t xml:space="preserve"> can be found at the following website:</w:t>
      </w:r>
    </w:p>
    <w:p w14:paraId="287E6AFA" w14:textId="43B6D949" w:rsidR="00E85434" w:rsidRDefault="004F4667" w:rsidP="00E85434">
      <w:pPr>
        <w:tabs>
          <w:tab w:val="left" w:pos="1710"/>
        </w:tabs>
        <w:spacing w:line="480" w:lineRule="auto"/>
        <w:ind w:left="450"/>
      </w:pPr>
      <w:hyperlink r:id="rId9" w:history="1">
        <w:r w:rsidR="00E85434" w:rsidRPr="00D92D29">
          <w:rPr>
            <w:rStyle w:val="Hyperlink"/>
          </w:rPr>
          <w:t>http://www.ulsf.org/programs_talloires_td.html</w:t>
        </w:r>
      </w:hyperlink>
    </w:p>
    <w:p w14:paraId="3D433932" w14:textId="0C4C12F2" w:rsidR="009F3D8E" w:rsidRDefault="00E85434" w:rsidP="00A932FA">
      <w:pPr>
        <w:tabs>
          <w:tab w:val="left" w:pos="1710"/>
        </w:tabs>
        <w:spacing w:line="480" w:lineRule="auto"/>
        <w:ind w:left="450"/>
      </w:pPr>
      <w:r>
        <w:t>Both</w:t>
      </w:r>
      <w:r w:rsidR="00CC34F9">
        <w:t xml:space="preserve"> the American College and University Presidents’ Climate Commitment and the </w:t>
      </w:r>
      <w:proofErr w:type="spellStart"/>
      <w:r w:rsidR="00CC34F9">
        <w:t>Talloires</w:t>
      </w:r>
      <w:proofErr w:type="spellEnd"/>
      <w:r w:rsidR="00CC34F9">
        <w:t xml:space="preserve"> Declaration </w:t>
      </w:r>
      <w:r w:rsidR="00F92B17">
        <w:t xml:space="preserve">are </w:t>
      </w:r>
      <w:r w:rsidR="00E948C1">
        <w:t>volunta</w:t>
      </w:r>
      <w:bookmarkStart w:id="0" w:name="_GoBack"/>
      <w:bookmarkEnd w:id="0"/>
      <w:r w:rsidR="00E948C1">
        <w:t xml:space="preserve">ry commitments </w:t>
      </w:r>
      <w:r w:rsidR="006F095B">
        <w:t>by</w:t>
      </w:r>
      <w:r w:rsidR="00F92B17">
        <w:t xml:space="preserve"> educational institutions of higher learning </w:t>
      </w:r>
      <w:r w:rsidR="006F095B">
        <w:t xml:space="preserve">to </w:t>
      </w:r>
      <w:r w:rsidR="00F92B17">
        <w:t>take the lead in educating the populace on the effects of global warming and committing to action on their campuses to follow practices of environmental sustainability</w:t>
      </w:r>
      <w:r w:rsidR="006F095B">
        <w:t xml:space="preserve"> and achieve </w:t>
      </w:r>
      <w:r w:rsidR="000148C4">
        <w:t xml:space="preserve">agreed upon </w:t>
      </w:r>
      <w:r w:rsidR="006F095B">
        <w:t>environmental goals</w:t>
      </w:r>
      <w:r w:rsidR="00F92B17">
        <w:t>.</w:t>
      </w:r>
      <w:r w:rsidR="000148C4">
        <w:t xml:space="preserve">  It is imperative that the CSU as the largest system of higher education in the United States be at the forefront of meeting the unprecedented challenge of global warming.  </w:t>
      </w:r>
      <w:r w:rsidR="00F92B17">
        <w:t xml:space="preserve"> </w:t>
      </w:r>
    </w:p>
    <w:sectPr w:rsidR="009F3D8E" w:rsidSect="007F5F55">
      <w:headerReference w:type="default" r:id="rId10"/>
      <w:footerReference w:type="default" r:id="rId11"/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C15529" w14:textId="77777777" w:rsidR="004F4667" w:rsidRDefault="004F4667">
      <w:r>
        <w:separator/>
      </w:r>
    </w:p>
  </w:endnote>
  <w:endnote w:type="continuationSeparator" w:id="0">
    <w:p w14:paraId="7901A290" w14:textId="77777777" w:rsidR="004F4667" w:rsidRDefault="004F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0608FE" w14:textId="451751EC" w:rsidR="00E948C1" w:rsidRDefault="00E948C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994AC5" w14:textId="77777777" w:rsidR="004F4667" w:rsidRDefault="004F4667">
      <w:r>
        <w:separator/>
      </w:r>
    </w:p>
  </w:footnote>
  <w:footnote w:type="continuationSeparator" w:id="0">
    <w:p w14:paraId="006AE014" w14:textId="77777777" w:rsidR="004F4667" w:rsidRDefault="004F46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6C50A6" w14:textId="64191AE4" w:rsidR="00E948C1" w:rsidRDefault="009C1FBB" w:rsidP="00E63568">
    <w:pPr>
      <w:pStyle w:val="Heading1"/>
      <w:tabs>
        <w:tab w:val="right" w:pos="9360"/>
      </w:tabs>
      <w:rPr>
        <w:b w:val="0"/>
        <w:bCs w:val="0"/>
        <w:sz w:val="24"/>
      </w:rPr>
    </w:pPr>
    <w:r w:rsidRPr="009C1FBB">
      <w:rPr>
        <w:b w:val="0"/>
        <w:bCs w:val="0"/>
        <w:sz w:val="24"/>
      </w:rPr>
      <w:t>Academic Senate CSU</w:t>
    </w:r>
    <w:r w:rsidR="00E948C1" w:rsidRPr="009C1FBB">
      <w:rPr>
        <w:b w:val="0"/>
        <w:bCs w:val="0"/>
        <w:sz w:val="24"/>
      </w:rPr>
      <w:t xml:space="preserve"> </w:t>
    </w:r>
    <w:r w:rsidR="00E948C1" w:rsidRPr="009C1FBB">
      <w:rPr>
        <w:b w:val="0"/>
        <w:bCs w:val="0"/>
        <w:sz w:val="24"/>
      </w:rPr>
      <w:tab/>
    </w:r>
    <w:r w:rsidR="00E948C1">
      <w:rPr>
        <w:b w:val="0"/>
        <w:bCs w:val="0"/>
        <w:sz w:val="24"/>
      </w:rPr>
      <w:t>AS-</w:t>
    </w:r>
    <w:r w:rsidR="0036628A">
      <w:rPr>
        <w:b w:val="0"/>
        <w:bCs w:val="0"/>
        <w:sz w:val="24"/>
      </w:rPr>
      <w:t>3110</w:t>
    </w:r>
    <w:r w:rsidR="00E948C1">
      <w:rPr>
        <w:b w:val="0"/>
        <w:bCs w:val="0"/>
        <w:sz w:val="24"/>
      </w:rPr>
      <w:t>-1</w:t>
    </w:r>
    <w:r w:rsidR="0036628A">
      <w:rPr>
        <w:b w:val="0"/>
        <w:bCs w:val="0"/>
        <w:sz w:val="24"/>
      </w:rPr>
      <w:t>3/FGA</w:t>
    </w:r>
    <w:r w:rsidR="008612F6">
      <w:rPr>
        <w:b w:val="0"/>
        <w:bCs w:val="0"/>
        <w:sz w:val="24"/>
      </w:rPr>
      <w:t xml:space="preserve"> (Rev)</w:t>
    </w:r>
  </w:p>
  <w:sdt>
    <w:sdtPr>
      <w:id w:val="250395305"/>
      <w:docPartObj>
        <w:docPartGallery w:val="Page Numbers (Top of Page)"/>
        <w:docPartUnique/>
      </w:docPartObj>
    </w:sdtPr>
    <w:sdtEndPr/>
    <w:sdtContent>
      <w:p w14:paraId="397F0731" w14:textId="77777777" w:rsidR="0036628A" w:rsidRDefault="00E948C1" w:rsidP="008D7086">
        <w:pPr>
          <w:tabs>
            <w:tab w:val="right" w:pos="9360"/>
          </w:tabs>
          <w:rPr>
            <w:bCs/>
          </w:rPr>
        </w:pPr>
        <w:r>
          <w:t xml:space="preserve">Page </w:t>
        </w:r>
        <w:r>
          <w:fldChar w:fldCharType="begin"/>
        </w:r>
        <w:r>
          <w:instrText xml:space="preserve"> PAGE </w:instrText>
        </w:r>
        <w:r>
          <w:fldChar w:fldCharType="separate"/>
        </w:r>
        <w:r w:rsidR="009C1FBB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of </w:t>
        </w:r>
        <w:r w:rsidR="004F4667">
          <w:fldChar w:fldCharType="begin"/>
        </w:r>
        <w:r w:rsidR="004F4667">
          <w:instrText xml:space="preserve"> NUMPAGES  </w:instrText>
        </w:r>
        <w:r w:rsidR="004F4667">
          <w:fldChar w:fldCharType="separate"/>
        </w:r>
        <w:r w:rsidR="009C1FBB">
          <w:rPr>
            <w:noProof/>
          </w:rPr>
          <w:t>2</w:t>
        </w:r>
        <w:r w:rsidR="004F4667">
          <w:rPr>
            <w:noProof/>
          </w:rPr>
          <w:fldChar w:fldCharType="end"/>
        </w:r>
        <w:r>
          <w:tab/>
        </w:r>
        <w:r>
          <w:rPr>
            <w:bCs/>
          </w:rPr>
          <w:t>January 17-18, 2013</w:t>
        </w:r>
      </w:p>
      <w:p w14:paraId="6A5EB41D" w14:textId="5AB0B2BC" w:rsidR="00E948C1" w:rsidRDefault="0036628A" w:rsidP="008D7086">
        <w:pPr>
          <w:tabs>
            <w:tab w:val="right" w:pos="9360"/>
          </w:tabs>
        </w:pPr>
        <w:r>
          <w:rPr>
            <w:bCs/>
          </w:rPr>
          <w:tab/>
        </w:r>
        <w:r w:rsidR="008612F6">
          <w:rPr>
            <w:bCs/>
          </w:rPr>
          <w:t xml:space="preserve">Second </w:t>
        </w:r>
        <w:r>
          <w:rPr>
            <w:bCs/>
          </w:rPr>
          <w:t>Reading</w:t>
        </w:r>
      </w:p>
    </w:sdtContent>
  </w:sdt>
  <w:p w14:paraId="4E30B0A3" w14:textId="77777777" w:rsidR="00E948C1" w:rsidRDefault="00E948C1" w:rsidP="00E63568">
    <w:pPr>
      <w:pStyle w:val="Heading1"/>
      <w:tabs>
        <w:tab w:val="left" w:pos="68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D1E6A" w14:textId="77777777" w:rsidR="009C1FBB" w:rsidRPr="005206D6" w:rsidRDefault="009C1FBB" w:rsidP="009C1FBB">
    <w:pPr>
      <w:jc w:val="right"/>
      <w:rPr>
        <w:smallCaps/>
        <w:sz w:val="20"/>
      </w:rPr>
    </w:pPr>
  </w:p>
  <w:p w14:paraId="71E4B42D" w14:textId="77777777" w:rsidR="009C1FBB" w:rsidRPr="00F54B02" w:rsidRDefault="009C1FBB" w:rsidP="009C1FBB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Academic Senate</w:t>
    </w:r>
  </w:p>
  <w:p w14:paraId="6DE12339" w14:textId="77777777" w:rsidR="009C1FBB" w:rsidRPr="00F54B02" w:rsidRDefault="009C1FBB" w:rsidP="009C1FBB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of</w:t>
    </w:r>
  </w:p>
  <w:p w14:paraId="71112BBA" w14:textId="77777777" w:rsidR="009C1FBB" w:rsidRDefault="009C1FBB" w:rsidP="009C1FBB">
    <w:pPr>
      <w:jc w:val="center"/>
      <w:rPr>
        <w:b/>
        <w:smallCaps/>
        <w:sz w:val="28"/>
        <w:szCs w:val="28"/>
      </w:rPr>
    </w:pPr>
    <w:r w:rsidRPr="00F54B02">
      <w:rPr>
        <w:b/>
        <w:smallCaps/>
        <w:sz w:val="28"/>
        <w:szCs w:val="28"/>
      </w:rPr>
      <w:t>The California State University</w:t>
    </w:r>
  </w:p>
  <w:p w14:paraId="20B7DAE8" w14:textId="67911B9C" w:rsidR="00E948C1" w:rsidRPr="009C1FBB" w:rsidRDefault="00E948C1" w:rsidP="009C1FB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54626"/>
    <w:multiLevelType w:val="hybridMultilevel"/>
    <w:tmpl w:val="F8822D90"/>
    <w:lvl w:ilvl="0" w:tplc="0FB873E4">
      <w:start w:val="1"/>
      <w:numFmt w:val="decimal"/>
      <w:lvlText w:val="%1."/>
      <w:lvlJc w:val="left"/>
      <w:pPr>
        <w:ind w:left="74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06B87157"/>
    <w:multiLevelType w:val="hybridMultilevel"/>
    <w:tmpl w:val="8FD6A08E"/>
    <w:lvl w:ilvl="0" w:tplc="0FB873E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DE2F55"/>
    <w:multiLevelType w:val="hybridMultilevel"/>
    <w:tmpl w:val="DD34CDAE"/>
    <w:lvl w:ilvl="0" w:tplc="958219C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AA2EC5"/>
    <w:multiLevelType w:val="hybridMultilevel"/>
    <w:tmpl w:val="F8822D90"/>
    <w:lvl w:ilvl="0" w:tplc="0FB873E4">
      <w:start w:val="1"/>
      <w:numFmt w:val="decimal"/>
      <w:lvlText w:val="%1."/>
      <w:lvlJc w:val="left"/>
      <w:pPr>
        <w:ind w:left="749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69" w:hanging="360"/>
      </w:pPr>
    </w:lvl>
    <w:lvl w:ilvl="2" w:tplc="0409001B" w:tentative="1">
      <w:start w:val="1"/>
      <w:numFmt w:val="lowerRoman"/>
      <w:lvlText w:val="%3."/>
      <w:lvlJc w:val="right"/>
      <w:pPr>
        <w:ind w:left="2189" w:hanging="180"/>
      </w:pPr>
    </w:lvl>
    <w:lvl w:ilvl="3" w:tplc="0409000F" w:tentative="1">
      <w:start w:val="1"/>
      <w:numFmt w:val="decimal"/>
      <w:lvlText w:val="%4."/>
      <w:lvlJc w:val="left"/>
      <w:pPr>
        <w:ind w:left="2909" w:hanging="360"/>
      </w:pPr>
    </w:lvl>
    <w:lvl w:ilvl="4" w:tplc="04090019" w:tentative="1">
      <w:start w:val="1"/>
      <w:numFmt w:val="lowerLetter"/>
      <w:lvlText w:val="%5."/>
      <w:lvlJc w:val="left"/>
      <w:pPr>
        <w:ind w:left="3629" w:hanging="360"/>
      </w:pPr>
    </w:lvl>
    <w:lvl w:ilvl="5" w:tplc="0409001B" w:tentative="1">
      <w:start w:val="1"/>
      <w:numFmt w:val="lowerRoman"/>
      <w:lvlText w:val="%6."/>
      <w:lvlJc w:val="right"/>
      <w:pPr>
        <w:ind w:left="4349" w:hanging="180"/>
      </w:pPr>
    </w:lvl>
    <w:lvl w:ilvl="6" w:tplc="0409000F" w:tentative="1">
      <w:start w:val="1"/>
      <w:numFmt w:val="decimal"/>
      <w:lvlText w:val="%7."/>
      <w:lvlJc w:val="left"/>
      <w:pPr>
        <w:ind w:left="5069" w:hanging="360"/>
      </w:pPr>
    </w:lvl>
    <w:lvl w:ilvl="7" w:tplc="04090019" w:tentative="1">
      <w:start w:val="1"/>
      <w:numFmt w:val="lowerLetter"/>
      <w:lvlText w:val="%8."/>
      <w:lvlJc w:val="left"/>
      <w:pPr>
        <w:ind w:left="5789" w:hanging="360"/>
      </w:pPr>
    </w:lvl>
    <w:lvl w:ilvl="8" w:tplc="040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432F20F4"/>
    <w:multiLevelType w:val="hybridMultilevel"/>
    <w:tmpl w:val="AF9C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ED6B96"/>
    <w:multiLevelType w:val="hybridMultilevel"/>
    <w:tmpl w:val="4A40D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4F72A6"/>
    <w:multiLevelType w:val="hybridMultilevel"/>
    <w:tmpl w:val="179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DBC"/>
    <w:rsid w:val="000148C4"/>
    <w:rsid w:val="00056E8A"/>
    <w:rsid w:val="00066E24"/>
    <w:rsid w:val="00073681"/>
    <w:rsid w:val="00084B96"/>
    <w:rsid w:val="000D0829"/>
    <w:rsid w:val="00161688"/>
    <w:rsid w:val="0017329E"/>
    <w:rsid w:val="00197D56"/>
    <w:rsid w:val="001A0C14"/>
    <w:rsid w:val="001E568B"/>
    <w:rsid w:val="001F331D"/>
    <w:rsid w:val="001F7DEB"/>
    <w:rsid w:val="002041CB"/>
    <w:rsid w:val="00210A19"/>
    <w:rsid w:val="00211483"/>
    <w:rsid w:val="00232C9C"/>
    <w:rsid w:val="00257DD0"/>
    <w:rsid w:val="0026423F"/>
    <w:rsid w:val="0026765E"/>
    <w:rsid w:val="002A74E0"/>
    <w:rsid w:val="002B16C3"/>
    <w:rsid w:val="002F37CF"/>
    <w:rsid w:val="00307AC8"/>
    <w:rsid w:val="00307BA3"/>
    <w:rsid w:val="003129C8"/>
    <w:rsid w:val="00322B6C"/>
    <w:rsid w:val="00347B2B"/>
    <w:rsid w:val="0036628A"/>
    <w:rsid w:val="00394D86"/>
    <w:rsid w:val="003B2841"/>
    <w:rsid w:val="004928BA"/>
    <w:rsid w:val="004A2E91"/>
    <w:rsid w:val="004D10D1"/>
    <w:rsid w:val="004F4667"/>
    <w:rsid w:val="00573DA9"/>
    <w:rsid w:val="005C684A"/>
    <w:rsid w:val="005E485F"/>
    <w:rsid w:val="006037DA"/>
    <w:rsid w:val="0063108C"/>
    <w:rsid w:val="0065642B"/>
    <w:rsid w:val="006A543D"/>
    <w:rsid w:val="006B712D"/>
    <w:rsid w:val="006F095B"/>
    <w:rsid w:val="007E0BA0"/>
    <w:rsid w:val="007E1F97"/>
    <w:rsid w:val="007F1C01"/>
    <w:rsid w:val="007F5F55"/>
    <w:rsid w:val="00820BAD"/>
    <w:rsid w:val="00820F2E"/>
    <w:rsid w:val="00860FD4"/>
    <w:rsid w:val="008612F6"/>
    <w:rsid w:val="008826AF"/>
    <w:rsid w:val="008D7086"/>
    <w:rsid w:val="008D797F"/>
    <w:rsid w:val="008E0858"/>
    <w:rsid w:val="008F1CFF"/>
    <w:rsid w:val="00900E7A"/>
    <w:rsid w:val="00903F0F"/>
    <w:rsid w:val="009244EE"/>
    <w:rsid w:val="009456F4"/>
    <w:rsid w:val="00970AF7"/>
    <w:rsid w:val="009C1FBB"/>
    <w:rsid w:val="009C5357"/>
    <w:rsid w:val="009F3D8E"/>
    <w:rsid w:val="009F6BD6"/>
    <w:rsid w:val="00A26F77"/>
    <w:rsid w:val="00A52BC8"/>
    <w:rsid w:val="00A81CAE"/>
    <w:rsid w:val="00A932FA"/>
    <w:rsid w:val="00AA7B80"/>
    <w:rsid w:val="00B039BB"/>
    <w:rsid w:val="00B409C2"/>
    <w:rsid w:val="00B80FCE"/>
    <w:rsid w:val="00BC65A7"/>
    <w:rsid w:val="00C2079E"/>
    <w:rsid w:val="00C432D0"/>
    <w:rsid w:val="00C64644"/>
    <w:rsid w:val="00C71507"/>
    <w:rsid w:val="00C8040B"/>
    <w:rsid w:val="00CC34F9"/>
    <w:rsid w:val="00CD53F2"/>
    <w:rsid w:val="00E30476"/>
    <w:rsid w:val="00E460C1"/>
    <w:rsid w:val="00E63568"/>
    <w:rsid w:val="00E85434"/>
    <w:rsid w:val="00E948C1"/>
    <w:rsid w:val="00E9644A"/>
    <w:rsid w:val="00F034A4"/>
    <w:rsid w:val="00F273E9"/>
    <w:rsid w:val="00F431C7"/>
    <w:rsid w:val="00F5545A"/>
    <w:rsid w:val="00F92B17"/>
    <w:rsid w:val="00FE1DBC"/>
    <w:rsid w:val="00FE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81C3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5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basedOn w:val="DefaultParagraphFont"/>
    <w:rsid w:val="00631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68"/>
    <w:pPr>
      <w:ind w:left="720"/>
      <w:contextualSpacing/>
    </w:pPr>
  </w:style>
  <w:style w:type="character" w:customStyle="1" w:styleId="amp">
    <w:name w:val="amp"/>
    <w:basedOn w:val="DefaultParagraphFont"/>
    <w:rsid w:val="008E0858"/>
  </w:style>
  <w:style w:type="character" w:customStyle="1" w:styleId="Heading3Char">
    <w:name w:val="Heading 3 Char"/>
    <w:basedOn w:val="DefaultParagraphFont"/>
    <w:link w:val="Heading3"/>
    <w:semiHidden/>
    <w:rsid w:val="009456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9456F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1C7"/>
    <w:rPr>
      <w:sz w:val="24"/>
    </w:rPr>
  </w:style>
  <w:style w:type="paragraph" w:styleId="Heading1">
    <w:name w:val="heading 1"/>
    <w:basedOn w:val="Normal"/>
    <w:next w:val="Normal"/>
    <w:qFormat/>
    <w:rsid w:val="00F431C7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431C7"/>
    <w:pPr>
      <w:keepNext/>
      <w:tabs>
        <w:tab w:val="right" w:pos="8640"/>
      </w:tabs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456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431C7"/>
    <w:pPr>
      <w:spacing w:after="240"/>
    </w:pPr>
    <w:rPr>
      <w:rFonts w:ascii="Garamond" w:hAnsi="Garamond"/>
      <w:sz w:val="22"/>
      <w:szCs w:val="24"/>
    </w:rPr>
  </w:style>
  <w:style w:type="paragraph" w:customStyle="1" w:styleId="SectionHeading">
    <w:name w:val="Section Heading"/>
    <w:basedOn w:val="BodyText"/>
    <w:rsid w:val="00F431C7"/>
    <w:pPr>
      <w:spacing w:before="480" w:after="360"/>
      <w:jc w:val="center"/>
    </w:pPr>
    <w:rPr>
      <w:b/>
      <w:bCs/>
      <w:smallCaps/>
      <w:sz w:val="26"/>
    </w:rPr>
  </w:style>
  <w:style w:type="paragraph" w:customStyle="1" w:styleId="BulletedList">
    <w:name w:val="Bulleted List"/>
    <w:basedOn w:val="BodyText"/>
    <w:rsid w:val="00F431C7"/>
    <w:pPr>
      <w:spacing w:after="60"/>
      <w:ind w:left="1080" w:right="720" w:hanging="360"/>
    </w:pPr>
  </w:style>
  <w:style w:type="character" w:styleId="LineNumber">
    <w:name w:val="line number"/>
    <w:basedOn w:val="DefaultParagraphFont"/>
    <w:rsid w:val="00F431C7"/>
  </w:style>
  <w:style w:type="paragraph" w:styleId="Header">
    <w:name w:val="header"/>
    <w:basedOn w:val="Normal"/>
    <w:rsid w:val="00F431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431C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31C7"/>
  </w:style>
  <w:style w:type="paragraph" w:styleId="BodyText2">
    <w:name w:val="Body Text 2"/>
    <w:basedOn w:val="Normal"/>
    <w:rsid w:val="00F431C7"/>
    <w:rPr>
      <w:b/>
      <w:bCs/>
      <w:sz w:val="28"/>
    </w:rPr>
  </w:style>
  <w:style w:type="character" w:styleId="Hyperlink">
    <w:name w:val="Hyperlink"/>
    <w:basedOn w:val="DefaultParagraphFont"/>
    <w:rsid w:val="0063108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3568"/>
    <w:pPr>
      <w:ind w:left="720"/>
      <w:contextualSpacing/>
    </w:pPr>
  </w:style>
  <w:style w:type="character" w:customStyle="1" w:styleId="amp">
    <w:name w:val="amp"/>
    <w:basedOn w:val="DefaultParagraphFont"/>
    <w:rsid w:val="008E0858"/>
  </w:style>
  <w:style w:type="character" w:customStyle="1" w:styleId="Heading3Char">
    <w:name w:val="Heading 3 Char"/>
    <w:basedOn w:val="DefaultParagraphFont"/>
    <w:link w:val="Heading3"/>
    <w:semiHidden/>
    <w:rsid w:val="009456F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Strong">
    <w:name w:val="Strong"/>
    <w:basedOn w:val="DefaultParagraphFont"/>
    <w:uiPriority w:val="22"/>
    <w:qFormat/>
    <w:rsid w:val="009456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0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8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1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9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9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5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4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99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identsclimatecommitment.org/about/commitment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lsf.org/programs_talloires_td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SEANTE</vt:lpstr>
    </vt:vector>
  </TitlesOfParts>
  <Company>Cal State Los Angeles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SEANTE</dc:title>
  <dc:creator>Anagnoson</dc:creator>
  <cp:lastModifiedBy>Butler, Tracy</cp:lastModifiedBy>
  <cp:revision>6</cp:revision>
  <cp:lastPrinted>2012-09-12T17:19:00Z</cp:lastPrinted>
  <dcterms:created xsi:type="dcterms:W3CDTF">2013-01-17T21:22:00Z</dcterms:created>
  <dcterms:modified xsi:type="dcterms:W3CDTF">2013-01-18T23:41:00Z</dcterms:modified>
</cp:coreProperties>
</file>