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D57C" w14:textId="77777777" w:rsidR="0030413B" w:rsidRPr="0030413B" w:rsidRDefault="005D3CAC" w:rsidP="0030413B">
      <w:pPr>
        <w:pStyle w:val="Title"/>
      </w:pPr>
      <w:r w:rsidRPr="0030413B">
        <w:t>Standard Course Outline</w:t>
      </w:r>
    </w:p>
    <w:p w14:paraId="7A8329D8" w14:textId="3DD1EA7C" w:rsidR="005D3CAC" w:rsidRPr="0030413B" w:rsidRDefault="000554F2" w:rsidP="0030413B">
      <w:pPr>
        <w:pStyle w:val="Heading1"/>
        <w:pBdr>
          <w:bottom w:val="single" w:sz="12" w:space="1" w:color="auto"/>
        </w:pBdr>
        <w:rPr>
          <w:rStyle w:val="Emphasis"/>
          <w:b w:val="0"/>
          <w:bCs w:val="0"/>
          <w:color w:val="auto"/>
        </w:rPr>
      </w:pPr>
      <w:r w:rsidRPr="0030413B">
        <w:rPr>
          <w:rStyle w:val="Emphasis"/>
          <w:b w:val="0"/>
          <w:bCs w:val="0"/>
          <w:color w:val="auto"/>
        </w:rPr>
        <w:t>Course Number and Title</w:t>
      </w:r>
    </w:p>
    <w:p w14:paraId="2EC40119" w14:textId="35A6AFAB" w:rsidR="00137F4C" w:rsidRDefault="00137F4C" w:rsidP="0065471D">
      <w:pPr>
        <w:ind w:left="0"/>
        <w:rPr>
          <w:i/>
          <w:iCs/>
        </w:rPr>
      </w:pPr>
      <w:r>
        <w:rPr>
          <w:i/>
          <w:iCs/>
        </w:rPr>
        <w:t>This Standard Course Outline (SCO) template has been approved by the College of Business Undergraduate Programs Committee (UPC) on September 3, 2021.</w:t>
      </w:r>
    </w:p>
    <w:p w14:paraId="789C8255" w14:textId="718C4F1D" w:rsidR="00CB6E35" w:rsidRPr="0065471D" w:rsidRDefault="00CB6E35" w:rsidP="0065471D">
      <w:pPr>
        <w:ind w:left="0"/>
        <w:rPr>
          <w:i/>
          <w:iCs/>
        </w:rPr>
      </w:pPr>
      <w:r w:rsidRPr="0065471D">
        <w:rPr>
          <w:i/>
          <w:iCs/>
        </w:rPr>
        <w:t xml:space="preserve">[Note: Items that appear in </w:t>
      </w:r>
      <w:r w:rsidRPr="0065471D">
        <w:rPr>
          <w:b/>
          <w:i/>
          <w:iCs/>
          <w:color w:val="auto"/>
        </w:rPr>
        <w:t>BLACK FONT</w:t>
      </w:r>
      <w:r w:rsidRPr="0065471D">
        <w:rPr>
          <w:i/>
          <w:iCs/>
          <w:color w:val="auto"/>
        </w:rPr>
        <w:t xml:space="preserve"> </w:t>
      </w:r>
      <w:r w:rsidRPr="0065471D">
        <w:rPr>
          <w:i/>
          <w:iCs/>
        </w:rPr>
        <w:t xml:space="preserve">are </w:t>
      </w:r>
      <w:r w:rsidR="0094234E" w:rsidRPr="0065471D">
        <w:rPr>
          <w:i/>
          <w:iCs/>
        </w:rPr>
        <w:t>intended to serve as a template</w:t>
      </w:r>
      <w:r w:rsidR="009E4B88" w:rsidRPr="0065471D">
        <w:rPr>
          <w:i/>
          <w:iCs/>
        </w:rPr>
        <w:t xml:space="preserve"> for the SCO</w:t>
      </w:r>
      <w:r w:rsidR="0094234E" w:rsidRPr="0065471D">
        <w:rPr>
          <w:i/>
          <w:iCs/>
        </w:rPr>
        <w:t xml:space="preserve">. Items appearing in </w:t>
      </w:r>
      <w:r w:rsidRPr="0065471D">
        <w:rPr>
          <w:b/>
          <w:i/>
          <w:iCs/>
        </w:rPr>
        <w:t>BLUE FONT</w:t>
      </w:r>
      <w:r w:rsidRPr="0065471D">
        <w:rPr>
          <w:i/>
          <w:iCs/>
        </w:rPr>
        <w:t xml:space="preserve"> are intended to serve as guides for faculty completing SCOs</w:t>
      </w:r>
      <w:r w:rsidR="000F2C2A" w:rsidRPr="0065471D">
        <w:rPr>
          <w:i/>
          <w:iCs/>
        </w:rPr>
        <w:t xml:space="preserve"> and can be removed</w:t>
      </w:r>
      <w:r w:rsidR="00B30313" w:rsidRPr="0065471D">
        <w:rPr>
          <w:i/>
          <w:iCs/>
        </w:rPr>
        <w:t xml:space="preserve"> as </w:t>
      </w:r>
      <w:r w:rsidR="00236D9F" w:rsidRPr="0065471D">
        <w:rPr>
          <w:i/>
          <w:iCs/>
        </w:rPr>
        <w:t>needed</w:t>
      </w:r>
      <w:r w:rsidR="0094234E" w:rsidRPr="0065471D">
        <w:rPr>
          <w:i/>
          <w:iCs/>
        </w:rPr>
        <w:t>.]</w:t>
      </w:r>
    </w:p>
    <w:p w14:paraId="2740EFF7" w14:textId="77777777" w:rsidR="00A34AE5" w:rsidRPr="00A34AE5" w:rsidRDefault="00A34AE5" w:rsidP="0065471D">
      <w:pPr>
        <w:ind w:left="0"/>
      </w:pPr>
      <w:r w:rsidRPr="00A34AE5">
        <w:t>Purpose of a Standard Course Outline (SCO)</w:t>
      </w:r>
    </w:p>
    <w:p w14:paraId="01429E97" w14:textId="77777777" w:rsidR="000F7510" w:rsidRPr="00323B35" w:rsidRDefault="000F7510" w:rsidP="0065471D">
      <w:pPr>
        <w:ind w:left="0"/>
        <w:rPr>
          <w:rStyle w:val="IntenseEmphasis"/>
        </w:rPr>
      </w:pPr>
      <w:r w:rsidRPr="00323B35">
        <w:rPr>
          <w:rStyle w:val="IntenseEmphasis"/>
        </w:rPr>
        <w:t xml:space="preserve">The SCO is a document written by faculty to describe the learning objectives and pedagogy of a specific course. It is an instructional tool to be shared among faculty teaching the course. Unlike syllabi, which are geared toward student audiences, an SCO provides information for the faculty teaching the course, acting as a set of guidelines to instruct and to assist all present and future faculty of a course. A well-balanced SCO will provide both rigor and flexibility. Sufficient rigor refers to requiring consistent criteria and standards to be adhered to </w:t>
      </w:r>
      <w:proofErr w:type="spellStart"/>
      <w:r w:rsidRPr="00323B35">
        <w:rPr>
          <w:rStyle w:val="IntenseEmphasis"/>
        </w:rPr>
        <w:t>across</w:t>
      </w:r>
      <w:proofErr w:type="spellEnd"/>
      <w:r w:rsidRPr="00323B35">
        <w:rPr>
          <w:rStyle w:val="IntenseEmphasis"/>
        </w:rPr>
        <w:t xml:space="preserve"> sections and semesters of teaching the course. Flexibility allows faculty members to align those requirements according to their distinct teaching styles. It is not advisable to use a syllabus to create the SCO; rather, the SCO should inform and foster the design of all future syllabi. An SCO also serves as a contract: all syllabi should conform to its specifications about what the course is designed to provide students as part of the curriculum as well as the methods by which those learning goals are accomplished. </w:t>
      </w:r>
    </w:p>
    <w:p w14:paraId="73CAC1BF" w14:textId="58807516" w:rsidR="000F7510" w:rsidRPr="00323B35" w:rsidRDefault="000F7510" w:rsidP="0065471D">
      <w:pPr>
        <w:ind w:left="0"/>
        <w:rPr>
          <w:rStyle w:val="IntenseEmphasis"/>
        </w:rPr>
      </w:pPr>
      <w:r w:rsidRPr="00323B35">
        <w:rPr>
          <w:rStyle w:val="IntenseEmphasis"/>
        </w:rPr>
        <w:t xml:space="preserve">Part of the usefulness of an SCO is derived from the need for conformity of standards, across sections (for multi-sectioned courses) and semesters (for all courses). Present and future instructors of the course should follow the instructions given in the SCO to ensure consistency of pedagogical practices. A carefully crafted SCO should also serve as the foundation and design tool for course-level assessment planning, an integral component of discovering and implementing curricular change for enhancing students' mastery of the learning objectives. SCO requirement for core courses will also support the curriculum management process which is required by </w:t>
      </w:r>
      <w:r w:rsidR="005D3CAC">
        <w:rPr>
          <w:rStyle w:val="IntenseEmphasis"/>
        </w:rPr>
        <w:t>AACSB</w:t>
      </w:r>
      <w:r w:rsidRPr="00323B35">
        <w:rPr>
          <w:rStyle w:val="IntenseEmphasis"/>
        </w:rPr>
        <w:t>.</w:t>
      </w:r>
    </w:p>
    <w:p w14:paraId="4477B3C0" w14:textId="43FA0ECD" w:rsidR="000F7510" w:rsidRDefault="000F7510" w:rsidP="0065471D">
      <w:pPr>
        <w:ind w:left="0"/>
        <w:rPr>
          <w:rStyle w:val="IntenseEmphasis"/>
        </w:rPr>
      </w:pPr>
      <w:r w:rsidRPr="00323B35">
        <w:rPr>
          <w:rStyle w:val="IntenseEmphasis"/>
        </w:rPr>
        <w:t>An SCO should also acquaint faculty with university policies on instruction, such as those regarding class attendance, grading, and textbook selection.</w:t>
      </w:r>
    </w:p>
    <w:p w14:paraId="6104428F" w14:textId="77777777" w:rsidR="000554F2" w:rsidRPr="0030413B" w:rsidRDefault="000554F2" w:rsidP="0030413B">
      <w:pPr>
        <w:pStyle w:val="Heading2"/>
      </w:pPr>
      <w:r w:rsidRPr="0030413B">
        <w:t>General Information</w:t>
      </w:r>
    </w:p>
    <w:p w14:paraId="7B7A4AC7" w14:textId="3299452A" w:rsidR="000554F2" w:rsidRPr="004A3264" w:rsidRDefault="000554F2" w:rsidP="004A3264">
      <w:pPr>
        <w:pStyle w:val="ListParagraph"/>
      </w:pPr>
      <w:r w:rsidRPr="004A3264">
        <w:t xml:space="preserve">Course Number: </w:t>
      </w:r>
    </w:p>
    <w:p w14:paraId="1D93A48A" w14:textId="2347E0AB" w:rsidR="000554F2" w:rsidRPr="004A3264" w:rsidRDefault="000554F2" w:rsidP="004A3264">
      <w:pPr>
        <w:pStyle w:val="ListParagraph"/>
      </w:pPr>
      <w:r w:rsidRPr="004A3264">
        <w:t xml:space="preserve">Title: </w:t>
      </w:r>
    </w:p>
    <w:p w14:paraId="441BF981" w14:textId="1782B7A5" w:rsidR="000554F2" w:rsidRPr="004A3264" w:rsidRDefault="000554F2" w:rsidP="004A3264">
      <w:pPr>
        <w:pStyle w:val="ListParagraph"/>
      </w:pPr>
      <w:r w:rsidRPr="004A3264">
        <w:t xml:space="preserve">Units: </w:t>
      </w:r>
    </w:p>
    <w:p w14:paraId="003FAC9F" w14:textId="0CCBFF46" w:rsidR="000554F2" w:rsidRPr="004A3264" w:rsidRDefault="000554F2" w:rsidP="004A3264">
      <w:pPr>
        <w:pStyle w:val="ListParagraph"/>
      </w:pPr>
      <w:r w:rsidRPr="004A3264">
        <w:t xml:space="preserve">Prerequisites: </w:t>
      </w:r>
    </w:p>
    <w:p w14:paraId="25CE12AD" w14:textId="090CDB1A" w:rsidR="000554F2" w:rsidRPr="004A3264" w:rsidRDefault="000554F2" w:rsidP="004A3264">
      <w:pPr>
        <w:pStyle w:val="ListParagraph"/>
      </w:pPr>
      <w:r w:rsidRPr="004A3264">
        <w:t xml:space="preserve">Course Coordinator: </w:t>
      </w:r>
    </w:p>
    <w:p w14:paraId="6DAF3231" w14:textId="4D3E308A" w:rsidR="000554F2" w:rsidRPr="004A3264" w:rsidRDefault="000554F2" w:rsidP="004A3264">
      <w:pPr>
        <w:pStyle w:val="ListParagraph"/>
      </w:pPr>
      <w:r w:rsidRPr="004A3264">
        <w:t xml:space="preserve">SCO Prepared by: </w:t>
      </w:r>
    </w:p>
    <w:p w14:paraId="54D2C4DB" w14:textId="4A8C36DE" w:rsidR="0065471D" w:rsidRPr="0065471D" w:rsidRDefault="000554F2" w:rsidP="004A3264">
      <w:pPr>
        <w:pStyle w:val="ListParagraph"/>
      </w:pPr>
      <w:r w:rsidRPr="004A3264">
        <w:t>Date prepared/revised:</w:t>
      </w:r>
      <w:r w:rsidRPr="0065471D">
        <w:t xml:space="preserve"> </w:t>
      </w:r>
      <w:r w:rsidR="0065471D">
        <w:tab/>
      </w:r>
    </w:p>
    <w:p w14:paraId="183AF4F9" w14:textId="77777777" w:rsidR="000F7510" w:rsidRPr="0030413B" w:rsidRDefault="000F7510" w:rsidP="0030413B">
      <w:pPr>
        <w:pStyle w:val="Heading2"/>
      </w:pPr>
      <w:r w:rsidRPr="0030413B">
        <w:t>Catalog Description</w:t>
      </w:r>
    </w:p>
    <w:p w14:paraId="28D4C0BC" w14:textId="77777777" w:rsidR="000F7510" w:rsidRPr="0065471D" w:rsidRDefault="000F7510" w:rsidP="0065471D">
      <w:r w:rsidRPr="0065471D">
        <w:lastRenderedPageBreak/>
        <w:t xml:space="preserve">Give catalog description (40 words maximum), listing prerequisites </w:t>
      </w:r>
      <w:r w:rsidR="00674E9D" w:rsidRPr="0065471D">
        <w:t xml:space="preserve">as well as </w:t>
      </w:r>
      <w:r w:rsidR="00A33521" w:rsidRPr="0065471D">
        <w:t xml:space="preserve">grading, </w:t>
      </w:r>
      <w:r w:rsidR="00674E9D" w:rsidRPr="0065471D">
        <w:t>repeatability of the course</w:t>
      </w:r>
      <w:r w:rsidR="00A33521" w:rsidRPr="0065471D">
        <w:t>, and course fees, if any.</w:t>
      </w:r>
    </w:p>
    <w:p w14:paraId="04F2C2B1" w14:textId="77777777" w:rsidR="000F7510" w:rsidRPr="0030413B" w:rsidRDefault="000F7510" w:rsidP="00D86A2F">
      <w:pPr>
        <w:pStyle w:val="Heading2"/>
      </w:pPr>
      <w:r w:rsidRPr="0030413B">
        <w:t>Curriculum Justification(s)</w:t>
      </w:r>
    </w:p>
    <w:p w14:paraId="7023C455" w14:textId="449A1D68" w:rsidR="000F7510" w:rsidRDefault="000F7510" w:rsidP="0065471D">
      <w:r w:rsidRPr="00995040">
        <w:t>State the need</w:t>
      </w:r>
      <w:r w:rsidR="008265CC">
        <w:t xml:space="preserve"> for the course to be in the COB</w:t>
      </w:r>
      <w:r w:rsidRPr="00995040">
        <w:t xml:space="preserve"> Core Curriculum and how it a</w:t>
      </w:r>
      <w:r w:rsidR="008265CC">
        <w:t>ligns with COB</w:t>
      </w:r>
      <w:r w:rsidRPr="00995040">
        <w:t xml:space="preserve"> Learning Goals</w:t>
      </w:r>
      <w:r w:rsidR="000554F2">
        <w:t xml:space="preserve">. </w:t>
      </w:r>
      <w:r w:rsidR="00447265" w:rsidRPr="00447265">
        <w:rPr>
          <w:b/>
          <w:bCs/>
          <w:highlight w:val="yellow"/>
        </w:rPr>
        <w:t>NOTE</w:t>
      </w:r>
      <w:r w:rsidR="00447265" w:rsidRPr="00447265">
        <w:rPr>
          <w:highlight w:val="yellow"/>
        </w:rPr>
        <w:t>: Not all courses meet all learning goals. Please select and include only the goals relevant to the content of the course and remove any that are not relevant.</w:t>
      </w:r>
      <w:r w:rsidR="00447265">
        <w:t xml:space="preserve"> </w:t>
      </w:r>
    </w:p>
    <w:p w14:paraId="187F28AC" w14:textId="5666B13E" w:rsidR="00447265" w:rsidRDefault="00447265" w:rsidP="00447265">
      <w:r w:rsidRPr="00447265">
        <w:rPr>
          <w:highlight w:val="yellow"/>
        </w:rPr>
        <w:t xml:space="preserve">For </w:t>
      </w:r>
      <w:r w:rsidRPr="00447265">
        <w:rPr>
          <w:b/>
          <w:bCs/>
          <w:highlight w:val="yellow"/>
        </w:rPr>
        <w:t>undergraduate courses</w:t>
      </w:r>
      <w:r w:rsidRPr="00447265">
        <w:rPr>
          <w:highlight w:val="yellow"/>
        </w:rPr>
        <w:t>, select from the list below:</w:t>
      </w:r>
    </w:p>
    <w:p w14:paraId="43AF00FF" w14:textId="1D3F17C2" w:rsidR="000554F2" w:rsidRPr="000554F2" w:rsidRDefault="000554F2" w:rsidP="0065471D">
      <w:r w:rsidRPr="0065471D">
        <w:rPr>
          <w:color w:val="auto"/>
        </w:rPr>
        <w:t xml:space="preserve">This course meets the following </w:t>
      </w:r>
      <w:hyperlink r:id="rId8" w:history="1">
        <w:r w:rsidRPr="000554F2">
          <w:rPr>
            <w:rStyle w:val="Hyperlink"/>
          </w:rPr>
          <w:t>College of Business Undergraduate Program Learning Goals</w:t>
        </w:r>
      </w:hyperlink>
      <w:r w:rsidRPr="000554F2">
        <w:t xml:space="preserve">: </w:t>
      </w:r>
    </w:p>
    <w:p w14:paraId="74D90907" w14:textId="77777777" w:rsidR="000F7510" w:rsidRPr="0030413B" w:rsidRDefault="000F7510" w:rsidP="0030413B">
      <w:pPr>
        <w:pStyle w:val="Heading3"/>
      </w:pPr>
      <w:r w:rsidRPr="0030413B">
        <w:t>General</w:t>
      </w:r>
    </w:p>
    <w:p w14:paraId="453C532B" w14:textId="77777777" w:rsidR="009C7375" w:rsidRPr="000554F2" w:rsidRDefault="009C7375" w:rsidP="004A3264">
      <w:pPr>
        <w:pStyle w:val="ListParagraph"/>
        <w:numPr>
          <w:ilvl w:val="0"/>
          <w:numId w:val="21"/>
        </w:numPr>
        <w:ind w:left="1080"/>
      </w:pPr>
      <w:r w:rsidRPr="000554F2">
        <w:rPr>
          <w:b/>
          <w:bCs/>
        </w:rPr>
        <w:t xml:space="preserve">Critical Thinking: </w:t>
      </w:r>
      <w:r w:rsidRPr="000554F2">
        <w:t>Students will be able to demonstrate conceptual learning, critical thinking, and problem-solving skills.</w:t>
      </w:r>
    </w:p>
    <w:p w14:paraId="364F7BC1" w14:textId="77777777" w:rsidR="009C7375" w:rsidRPr="000554F2" w:rsidRDefault="009C7375" w:rsidP="004A3264">
      <w:pPr>
        <w:pStyle w:val="ListParagraph"/>
        <w:numPr>
          <w:ilvl w:val="0"/>
          <w:numId w:val="21"/>
        </w:numPr>
        <w:ind w:left="1080"/>
      </w:pPr>
      <w:r w:rsidRPr="000554F2">
        <w:rPr>
          <w:b/>
          <w:bCs/>
        </w:rPr>
        <w:t xml:space="preserve">Ethics: </w:t>
      </w:r>
      <w:r w:rsidRPr="000554F2">
        <w:t>Students will be able to demonstrate awareness of ethical, social responsibility, and citizenship issues and the ability to apply them in decision making in the local, regional, and global communities.</w:t>
      </w:r>
    </w:p>
    <w:p w14:paraId="224B5A81" w14:textId="77777777" w:rsidR="009C7375" w:rsidRPr="000554F2" w:rsidRDefault="009C7375" w:rsidP="004A3264">
      <w:pPr>
        <w:pStyle w:val="ListParagraph"/>
        <w:numPr>
          <w:ilvl w:val="0"/>
          <w:numId w:val="21"/>
        </w:numPr>
        <w:ind w:left="1080"/>
      </w:pPr>
      <w:r w:rsidRPr="000554F2">
        <w:rPr>
          <w:b/>
          <w:bCs/>
        </w:rPr>
        <w:t xml:space="preserve">Team &amp; Interpersonal Skills: </w:t>
      </w:r>
      <w:r w:rsidRPr="000554F2">
        <w:t>Students will be able to demonstrate interpersonal skills for working in a dynamic and diverse world, including in a team environment.</w:t>
      </w:r>
    </w:p>
    <w:p w14:paraId="3FDBD3F7" w14:textId="77777777" w:rsidR="009C7375" w:rsidRPr="000554F2" w:rsidRDefault="009C7375" w:rsidP="004A3264">
      <w:pPr>
        <w:pStyle w:val="ListParagraph"/>
        <w:numPr>
          <w:ilvl w:val="0"/>
          <w:numId w:val="21"/>
        </w:numPr>
        <w:ind w:left="1080"/>
      </w:pPr>
      <w:r w:rsidRPr="000554F2">
        <w:rPr>
          <w:b/>
          <w:bCs/>
        </w:rPr>
        <w:t>Communication Skills: </w:t>
      </w:r>
      <w:r w:rsidRPr="000554F2">
        <w:t>Students will be able to demonstrate effective oral and written communication skills in English.</w:t>
      </w:r>
    </w:p>
    <w:p w14:paraId="6F5F810C" w14:textId="77777777" w:rsidR="000F7510" w:rsidRPr="0030413B" w:rsidRDefault="000F7510" w:rsidP="0030413B">
      <w:pPr>
        <w:pStyle w:val="Heading3"/>
      </w:pPr>
      <w:r w:rsidRPr="0030413B">
        <w:t>Management Specific</w:t>
      </w:r>
    </w:p>
    <w:p w14:paraId="3DE68CCA" w14:textId="77777777" w:rsidR="009C7375" w:rsidRPr="000554F2" w:rsidRDefault="009C7375" w:rsidP="004A3264">
      <w:pPr>
        <w:pStyle w:val="ListParagraph"/>
        <w:numPr>
          <w:ilvl w:val="0"/>
          <w:numId w:val="22"/>
        </w:numPr>
        <w:tabs>
          <w:tab w:val="clear" w:pos="720"/>
        </w:tabs>
        <w:ind w:left="1080"/>
      </w:pPr>
      <w:r w:rsidRPr="0065471D">
        <w:rPr>
          <w:b/>
          <w:bCs/>
        </w:rPr>
        <w:t xml:space="preserve">Business Functions: </w:t>
      </w:r>
      <w:r w:rsidRPr="000554F2">
        <w:t xml:space="preserve">Students will be able to demonstrate understanding of all business functions, practices and related theories and be able to integrate this functional knowledge </w:t>
      </w:r>
      <w:proofErr w:type="gramStart"/>
      <w:r w:rsidRPr="000554F2">
        <w:t>in order to</w:t>
      </w:r>
      <w:proofErr w:type="gramEnd"/>
      <w:r w:rsidRPr="000554F2">
        <w:t xml:space="preserve"> address business problems. </w:t>
      </w:r>
    </w:p>
    <w:p w14:paraId="50B3FCB8" w14:textId="77777777" w:rsidR="009C7375" w:rsidRPr="000554F2" w:rsidRDefault="009C7375" w:rsidP="004A3264">
      <w:pPr>
        <w:pStyle w:val="ListParagraph"/>
        <w:numPr>
          <w:ilvl w:val="0"/>
          <w:numId w:val="22"/>
        </w:numPr>
        <w:tabs>
          <w:tab w:val="clear" w:pos="720"/>
        </w:tabs>
        <w:ind w:left="1080"/>
      </w:pPr>
      <w:r w:rsidRPr="0065471D">
        <w:rPr>
          <w:b/>
          <w:bCs/>
        </w:rPr>
        <w:t xml:space="preserve">Quantitative &amp; Technical Skills: </w:t>
      </w:r>
      <w:r w:rsidRPr="000554F2">
        <w:t xml:space="preserve">Students will possess quantitative and technological skills enabling them to analyze and interpret business data and to improve business performance. </w:t>
      </w:r>
    </w:p>
    <w:p w14:paraId="23F308CB" w14:textId="6F88E49C" w:rsidR="009C7375" w:rsidRPr="0065471D" w:rsidRDefault="009C7375" w:rsidP="004A3264">
      <w:pPr>
        <w:pStyle w:val="ListParagraph"/>
        <w:numPr>
          <w:ilvl w:val="0"/>
          <w:numId w:val="22"/>
        </w:numPr>
        <w:tabs>
          <w:tab w:val="clear" w:pos="720"/>
        </w:tabs>
        <w:ind w:left="1080"/>
        <w:rPr>
          <w:bCs/>
          <w:iCs/>
        </w:rPr>
      </w:pPr>
      <w:r w:rsidRPr="0065471D">
        <w:rPr>
          <w:b/>
          <w:bCs/>
        </w:rPr>
        <w:t xml:space="preserve">Domestic &amp; Global Environment: </w:t>
      </w:r>
      <w:r w:rsidRPr="000554F2">
        <w:t>Students will be able to demonstrate knowledge of today’s domestic and global business environment (e.g., legal, regulatory, political, cultural, and economic).</w:t>
      </w:r>
    </w:p>
    <w:p w14:paraId="54D1705A" w14:textId="1BD9E8B8" w:rsidR="00447265" w:rsidRDefault="00447265" w:rsidP="00447265">
      <w:r w:rsidRPr="00447265">
        <w:rPr>
          <w:highlight w:val="yellow"/>
        </w:rPr>
        <w:t xml:space="preserve">For </w:t>
      </w:r>
      <w:r w:rsidRPr="00447265">
        <w:rPr>
          <w:b/>
          <w:bCs/>
          <w:highlight w:val="yellow"/>
        </w:rPr>
        <w:t>graduate courses</w:t>
      </w:r>
      <w:r w:rsidRPr="00447265">
        <w:rPr>
          <w:highlight w:val="yellow"/>
        </w:rPr>
        <w:t>, select from the list below:</w:t>
      </w:r>
    </w:p>
    <w:p w14:paraId="1988E8C0" w14:textId="614814FD" w:rsidR="000554F2" w:rsidRPr="000554F2" w:rsidRDefault="000554F2" w:rsidP="0065471D">
      <w:pPr>
        <w:ind w:left="1080" w:hanging="360"/>
      </w:pPr>
      <w:r w:rsidRPr="0065471D">
        <w:rPr>
          <w:color w:val="auto"/>
        </w:rPr>
        <w:t xml:space="preserve">This course meets the following </w:t>
      </w:r>
      <w:hyperlink r:id="rId9" w:history="1">
        <w:r>
          <w:rPr>
            <w:rStyle w:val="Hyperlink"/>
          </w:rPr>
          <w:t>College of Business Graduate Program Learning Goals</w:t>
        </w:r>
      </w:hyperlink>
      <w:r w:rsidRPr="000554F2">
        <w:t xml:space="preserve">: </w:t>
      </w:r>
    </w:p>
    <w:p w14:paraId="03E6EFC6" w14:textId="77777777" w:rsidR="009C7375" w:rsidRPr="0030413B" w:rsidRDefault="009C7375" w:rsidP="0030413B">
      <w:pPr>
        <w:pStyle w:val="Heading3"/>
        <w:numPr>
          <w:ilvl w:val="0"/>
          <w:numId w:val="37"/>
        </w:numPr>
        <w:ind w:left="1080"/>
      </w:pPr>
      <w:r w:rsidRPr="0030413B">
        <w:t>General</w:t>
      </w:r>
    </w:p>
    <w:p w14:paraId="4D892A9D" w14:textId="77777777" w:rsidR="009C7375" w:rsidRPr="000554F2" w:rsidRDefault="009C7375" w:rsidP="004A3264">
      <w:pPr>
        <w:pStyle w:val="ListParagraph"/>
        <w:numPr>
          <w:ilvl w:val="0"/>
          <w:numId w:val="24"/>
        </w:numPr>
        <w:tabs>
          <w:tab w:val="clear" w:pos="720"/>
        </w:tabs>
        <w:ind w:left="1080"/>
      </w:pPr>
      <w:r w:rsidRPr="0065471D">
        <w:rPr>
          <w:b/>
          <w:bCs/>
        </w:rPr>
        <w:t xml:space="preserve">Critical Thinking: </w:t>
      </w:r>
      <w:r w:rsidRPr="000554F2">
        <w:t>Students will be able to demonstrate conceptual learning, critical thinking, and problem-solving skills.</w:t>
      </w:r>
    </w:p>
    <w:p w14:paraId="22349EE8" w14:textId="77777777" w:rsidR="009C7375" w:rsidRPr="000554F2" w:rsidRDefault="009C7375" w:rsidP="004A3264">
      <w:pPr>
        <w:pStyle w:val="ListParagraph"/>
        <w:numPr>
          <w:ilvl w:val="0"/>
          <w:numId w:val="24"/>
        </w:numPr>
        <w:tabs>
          <w:tab w:val="clear" w:pos="720"/>
        </w:tabs>
        <w:ind w:left="1080"/>
      </w:pPr>
      <w:r w:rsidRPr="0065471D">
        <w:rPr>
          <w:b/>
          <w:bCs/>
        </w:rPr>
        <w:t xml:space="preserve">Ethics: </w:t>
      </w:r>
      <w:r w:rsidRPr="000554F2">
        <w:t>Students will be able to demonstrate awareness and knowledge of social responsibility, ethical leadership, and citizenship issues in the local, regional and world communities.</w:t>
      </w:r>
    </w:p>
    <w:p w14:paraId="57C0E3E6" w14:textId="77777777" w:rsidR="009C7375" w:rsidRPr="000554F2" w:rsidRDefault="009C7375" w:rsidP="004A3264">
      <w:pPr>
        <w:pStyle w:val="ListParagraph"/>
        <w:numPr>
          <w:ilvl w:val="0"/>
          <w:numId w:val="24"/>
        </w:numPr>
        <w:tabs>
          <w:tab w:val="clear" w:pos="720"/>
        </w:tabs>
        <w:ind w:left="1080"/>
      </w:pPr>
      <w:r w:rsidRPr="0065471D">
        <w:rPr>
          <w:b/>
          <w:bCs/>
        </w:rPr>
        <w:t xml:space="preserve">Interpersonal, Leadership &amp; Team Skills: </w:t>
      </w:r>
      <w:r w:rsidRPr="000554F2">
        <w:t>Students will be able to demonstrate interpersonal and leadership skills for working in a dynamic and diverse world, both independently and in a team environment.</w:t>
      </w:r>
    </w:p>
    <w:p w14:paraId="1DF3E28C" w14:textId="77777777" w:rsidR="009C7375" w:rsidRPr="0030413B" w:rsidRDefault="009C7375" w:rsidP="0030413B">
      <w:pPr>
        <w:pStyle w:val="Heading3"/>
      </w:pPr>
      <w:r w:rsidRPr="0030413B">
        <w:t>Management Specific</w:t>
      </w:r>
    </w:p>
    <w:p w14:paraId="3046CF3B" w14:textId="77777777" w:rsidR="009C7375" w:rsidRPr="000554F2" w:rsidRDefault="009C7375" w:rsidP="004A3264">
      <w:pPr>
        <w:pStyle w:val="ListParagraph"/>
        <w:numPr>
          <w:ilvl w:val="0"/>
          <w:numId w:val="25"/>
        </w:numPr>
        <w:tabs>
          <w:tab w:val="clear" w:pos="720"/>
        </w:tabs>
        <w:ind w:left="1080"/>
      </w:pPr>
      <w:r w:rsidRPr="0065471D">
        <w:rPr>
          <w:b/>
          <w:bCs/>
        </w:rPr>
        <w:lastRenderedPageBreak/>
        <w:t xml:space="preserve">Business Functions: </w:t>
      </w:r>
      <w:r w:rsidRPr="000554F2">
        <w:t xml:space="preserve">Students will be able to demonstrate understanding of all business functions, practices and related theories and be able to integrate this functional knowledge </w:t>
      </w:r>
      <w:proofErr w:type="gramStart"/>
      <w:r w:rsidRPr="000554F2">
        <w:t>in order to</w:t>
      </w:r>
      <w:proofErr w:type="gramEnd"/>
      <w:r w:rsidRPr="000554F2">
        <w:t xml:space="preserve"> address business problems.</w:t>
      </w:r>
    </w:p>
    <w:p w14:paraId="2788D105" w14:textId="77777777" w:rsidR="009C7375" w:rsidRPr="000554F2" w:rsidRDefault="009C7375" w:rsidP="004A3264">
      <w:pPr>
        <w:pStyle w:val="ListParagraph"/>
        <w:numPr>
          <w:ilvl w:val="0"/>
          <w:numId w:val="25"/>
        </w:numPr>
        <w:tabs>
          <w:tab w:val="clear" w:pos="720"/>
        </w:tabs>
        <w:ind w:left="1080"/>
      </w:pPr>
      <w:r w:rsidRPr="0065471D">
        <w:rPr>
          <w:b/>
          <w:bCs/>
        </w:rPr>
        <w:t xml:space="preserve">Quantitative &amp; Technical Skills: </w:t>
      </w:r>
      <w:r w:rsidRPr="000554F2">
        <w:t>Students will possess quantitative and technological skills enabling them to analyze, interpret, and communicate business data effectively and to improve business performance.</w:t>
      </w:r>
    </w:p>
    <w:p w14:paraId="46C76457" w14:textId="77777777" w:rsidR="009C7375" w:rsidRPr="000554F2" w:rsidRDefault="009C7375" w:rsidP="004A3264">
      <w:pPr>
        <w:pStyle w:val="ListParagraph"/>
        <w:numPr>
          <w:ilvl w:val="0"/>
          <w:numId w:val="25"/>
        </w:numPr>
        <w:tabs>
          <w:tab w:val="clear" w:pos="720"/>
        </w:tabs>
        <w:ind w:left="1080"/>
      </w:pPr>
      <w:r w:rsidRPr="0065471D">
        <w:rPr>
          <w:b/>
          <w:bCs/>
        </w:rPr>
        <w:t xml:space="preserve">Domestic &amp; Global Environment: </w:t>
      </w:r>
      <w:r w:rsidRPr="000554F2">
        <w:t>Students will be able to demonstrate knowledge of today’s dynamic business environment (e.g., legal, regulatory, political, cultural, and economic), especially the links between our region and global business.</w:t>
      </w:r>
    </w:p>
    <w:p w14:paraId="2C45DCDC" w14:textId="77777777" w:rsidR="000F7510" w:rsidRPr="0030413B" w:rsidRDefault="000F7510" w:rsidP="0030413B">
      <w:pPr>
        <w:pStyle w:val="Heading2"/>
      </w:pPr>
      <w:r w:rsidRPr="0030413B">
        <w:t>Course Objectives, Student Learning Outcomes, Evaluation Instruments, and Instructional Strategies for Skill Development</w:t>
      </w:r>
    </w:p>
    <w:p w14:paraId="3DA586DB" w14:textId="53825AD1" w:rsidR="000F7510" w:rsidRDefault="000F7510" w:rsidP="0065471D">
      <w:r w:rsidRPr="00995040">
        <w:t xml:space="preserve">Provide a bulleted list of course objectives (typically, </w:t>
      </w:r>
      <w:r w:rsidRPr="00995040">
        <w:rPr>
          <w:b/>
        </w:rPr>
        <w:t xml:space="preserve">3 </w:t>
      </w:r>
      <w:r w:rsidRPr="00995040">
        <w:t xml:space="preserve">- </w:t>
      </w:r>
      <w:r w:rsidRPr="00995040">
        <w:rPr>
          <w:b/>
        </w:rPr>
        <w:t xml:space="preserve">5 </w:t>
      </w:r>
      <w:r w:rsidRPr="00995040">
        <w:t xml:space="preserve">objectives). Objectives are broad statements of the goals for the </w:t>
      </w:r>
      <w:r w:rsidR="00447265" w:rsidRPr="00995040">
        <w:t>course</w:t>
      </w:r>
      <w:r w:rsidR="00447265">
        <w:t xml:space="preserve"> </w:t>
      </w:r>
      <w:r w:rsidR="00447265" w:rsidRPr="00447265">
        <w:rPr>
          <w:highlight w:val="yellow"/>
        </w:rPr>
        <w:t xml:space="preserve">and should </w:t>
      </w:r>
      <w:r w:rsidR="00447265">
        <w:rPr>
          <w:highlight w:val="yellow"/>
        </w:rPr>
        <w:t>expand upon</w:t>
      </w:r>
      <w:r w:rsidR="00447265" w:rsidRPr="00447265">
        <w:rPr>
          <w:highlight w:val="yellow"/>
        </w:rPr>
        <w:t xml:space="preserve"> the Learning Goals selected from the section above.</w:t>
      </w:r>
      <w:r w:rsidR="00447265">
        <w:t xml:space="preserve"> </w:t>
      </w:r>
      <w:r w:rsidRPr="00995040">
        <w:t xml:space="preserve">For </w:t>
      </w:r>
      <w:r w:rsidRPr="00995040">
        <w:rPr>
          <w:b/>
        </w:rPr>
        <w:t xml:space="preserve">EACH objective, </w:t>
      </w:r>
      <w:r w:rsidRPr="00995040">
        <w:t>state:</w:t>
      </w:r>
      <w:r w:rsidR="00B45BDF">
        <w:t xml:space="preserve"> Measurable Student Learning Outcomes, Evaluation Instruments, and Instructional Strategies for Skill Development. </w:t>
      </w:r>
    </w:p>
    <w:p w14:paraId="78E16BBE" w14:textId="6D2D3A32" w:rsidR="00B45BDF" w:rsidRPr="0030413B" w:rsidRDefault="00B45BDF" w:rsidP="0030413B">
      <w:pPr>
        <w:pStyle w:val="Heading3"/>
        <w:numPr>
          <w:ilvl w:val="0"/>
          <w:numId w:val="38"/>
        </w:numPr>
        <w:ind w:left="1080"/>
      </w:pPr>
      <w:r w:rsidRPr="0030413B">
        <w:t>OBJECTIVE 1: Objective</w:t>
      </w:r>
    </w:p>
    <w:p w14:paraId="2C217E77" w14:textId="08912E99" w:rsidR="000554F2" w:rsidRPr="0030413B" w:rsidRDefault="000F7510" w:rsidP="0030413B">
      <w:pPr>
        <w:pStyle w:val="Heading4"/>
      </w:pPr>
      <w:r w:rsidRPr="0030413B">
        <w:rPr>
          <w:rStyle w:val="Heading2Char"/>
          <w:b/>
          <w:bCs/>
        </w:rPr>
        <w:t>MEASURABLE</w:t>
      </w:r>
      <w:r w:rsidRPr="0030413B">
        <w:t xml:space="preserve"> STUDENT LEARNING OUTCOME(S)</w:t>
      </w:r>
    </w:p>
    <w:p w14:paraId="12334B64" w14:textId="0D08F812" w:rsidR="000F7510" w:rsidRPr="00995040" w:rsidRDefault="000F7510" w:rsidP="0065471D">
      <w:pPr>
        <w:ind w:left="1080"/>
      </w:pPr>
      <w:r w:rsidRPr="00995040">
        <w:t>Student Learning Outcomes</w:t>
      </w:r>
      <w:r w:rsidR="00956BC0">
        <w:t xml:space="preserve"> (SLOs)</w:t>
      </w:r>
      <w:r w:rsidRPr="00995040">
        <w:t xml:space="preserve"> are specific statements of what students are expected to learn and be able to do upon successful completion of the course. </w:t>
      </w:r>
      <w:r w:rsidRPr="00995040">
        <w:rPr>
          <w:b/>
        </w:rPr>
        <w:t>TIP:</w:t>
      </w:r>
      <w:r w:rsidRPr="00995040">
        <w:t xml:space="preserve"> The outcomes are deemed "measurable" when they reflect language that is</w:t>
      </w:r>
      <w:r w:rsidR="002400DB">
        <w:t xml:space="preserve"> action-oriented and assessment-</w:t>
      </w:r>
      <w:r w:rsidRPr="00995040">
        <w:t>driven. Outcomes should use verbs that require a demonstration. As an illustrative example, consider a course on Irish literature. A non-measurable outcome might be "students will understand the portrayal of women in Irish literature" (problem: how do we "see" when a student understands?). A measurable outcome might be "students will construct persuasive arguments that address the issue of gender in Irish literature".</w:t>
      </w:r>
    </w:p>
    <w:p w14:paraId="776A8604" w14:textId="16BF1B96" w:rsidR="000554F2" w:rsidRPr="0030413B" w:rsidRDefault="000F7510" w:rsidP="0030413B">
      <w:pPr>
        <w:pStyle w:val="Heading4"/>
      </w:pPr>
      <w:r w:rsidRPr="0030413B">
        <w:t>EVALUATION INSTRUMENTS</w:t>
      </w:r>
      <w:r w:rsidR="00AF7C6B" w:rsidRPr="0030413B">
        <w:t xml:space="preserve"> (ASS</w:t>
      </w:r>
      <w:r w:rsidR="008C0098" w:rsidRPr="0030413B">
        <w:t>IGNMENTS</w:t>
      </w:r>
      <w:r w:rsidR="00AF7C6B" w:rsidRPr="0030413B">
        <w:t>)</w:t>
      </w:r>
    </w:p>
    <w:p w14:paraId="54DFE7E9" w14:textId="16AFF584" w:rsidR="000F7510" w:rsidRPr="00995040" w:rsidRDefault="000F7510" w:rsidP="0065471D">
      <w:pPr>
        <w:ind w:left="1080"/>
        <w:rPr>
          <w:b/>
        </w:rPr>
      </w:pPr>
      <w:r w:rsidRPr="00995040">
        <w:t xml:space="preserve">Describe procedures and measures that would be suitable to evaluate student's mastery of course content and skills. These might include quizzes, a research paper, essay exam, oral presentation, etc. </w:t>
      </w:r>
      <w:r w:rsidR="00C81636" w:rsidRPr="00995040">
        <w:t xml:space="preserve">Rather than making a blanket statement of all possible assignments, give a meaningful description of how certain assignments will help </w:t>
      </w:r>
      <w:r w:rsidR="00CE7600" w:rsidRPr="00995040">
        <w:t xml:space="preserve">you </w:t>
      </w:r>
      <w:r w:rsidR="00C81636" w:rsidRPr="00995040">
        <w:t xml:space="preserve">reach </w:t>
      </w:r>
      <w:proofErr w:type="gramStart"/>
      <w:r w:rsidR="00C81636" w:rsidRPr="00995040">
        <w:t>particular outcomes</w:t>
      </w:r>
      <w:proofErr w:type="gramEnd"/>
      <w:r w:rsidR="00C81636" w:rsidRPr="00995040">
        <w:t>.</w:t>
      </w:r>
    </w:p>
    <w:p w14:paraId="4A9D681A" w14:textId="77777777" w:rsidR="000554F2" w:rsidRPr="0030413B" w:rsidRDefault="000F7510" w:rsidP="0030413B">
      <w:pPr>
        <w:pStyle w:val="Heading4"/>
      </w:pPr>
      <w:r w:rsidRPr="0030413B">
        <w:t>INSTRUCTIONAL STRATEGIES FOR SKILL DEVELOPMENT</w:t>
      </w:r>
    </w:p>
    <w:p w14:paraId="2CD0B268" w14:textId="6F487AD6" w:rsidR="000F7510" w:rsidRPr="00995040" w:rsidRDefault="000F7510" w:rsidP="0065471D">
      <w:pPr>
        <w:ind w:left="1080"/>
      </w:pPr>
      <w:r w:rsidRPr="00995040">
        <w:t xml:space="preserve">Describe what you will do as an instructor to teach the objective. </w:t>
      </w:r>
      <w:r w:rsidRPr="00995040">
        <w:rPr>
          <w:b/>
        </w:rPr>
        <w:t xml:space="preserve">TIP: </w:t>
      </w:r>
      <w:r w:rsidRPr="00995040">
        <w:t xml:space="preserve">Be certain to focus on instructor activities. </w:t>
      </w:r>
      <w:r w:rsidR="00E3098C" w:rsidRPr="00995040">
        <w:t xml:space="preserve">A writing </w:t>
      </w:r>
      <w:r w:rsidRPr="00995040">
        <w:t xml:space="preserve">requirement provides a good example. SCOs often state that "students will write </w:t>
      </w:r>
      <w:r w:rsidRPr="009368B7">
        <w:t>3</w:t>
      </w:r>
      <w:r w:rsidRPr="00995040">
        <w:rPr>
          <w:b/>
        </w:rPr>
        <w:t xml:space="preserve"> </w:t>
      </w:r>
      <w:r w:rsidRPr="00995040">
        <w:t>5-page papers," but students do not learn to write merely by the act of writing. Teaching writing skills involves, but is not limited to, explaining rubrics for writing expectations both before and after the assignments, reviewing components of well-written essays with the class with examples from actual student essays, incorporating feedback on drafts with opportunities for revision, etc.</w:t>
      </w:r>
    </w:p>
    <w:p w14:paraId="565E3174" w14:textId="77777777" w:rsidR="00571BCF" w:rsidRPr="0030413B" w:rsidRDefault="000F7510" w:rsidP="0030413B">
      <w:pPr>
        <w:pStyle w:val="Heading2"/>
      </w:pPr>
      <w:r w:rsidRPr="0030413B">
        <w:t>Outline of Subject Matter</w:t>
      </w:r>
    </w:p>
    <w:p w14:paraId="769C0E72" w14:textId="1416D875" w:rsidR="0015666C" w:rsidRPr="0030413B" w:rsidRDefault="0015666C" w:rsidP="0030413B">
      <w:pPr>
        <w:pStyle w:val="Heading3"/>
        <w:numPr>
          <w:ilvl w:val="0"/>
          <w:numId w:val="39"/>
        </w:numPr>
        <w:ind w:left="1080"/>
      </w:pPr>
      <w:r w:rsidRPr="0030413B">
        <w:t>SUGGESTED COURSE SCHEDULE / TOPICS TO BE COVERED</w:t>
      </w:r>
    </w:p>
    <w:p w14:paraId="5BE32D6A" w14:textId="77777777" w:rsidR="000F7510" w:rsidRPr="00985C39" w:rsidRDefault="000F7510" w:rsidP="0065471D">
      <w:pPr>
        <w:ind w:left="1080"/>
      </w:pPr>
      <w:r w:rsidRPr="00985C39">
        <w:lastRenderedPageBreak/>
        <w:t xml:space="preserve">Include a </w:t>
      </w:r>
      <w:r w:rsidR="006A010F" w:rsidRPr="00985C39">
        <w:t xml:space="preserve">suggested </w:t>
      </w:r>
      <w:r w:rsidRPr="00985C39">
        <w:t xml:space="preserve">course schedule that is not too detailed. Do not list page numbers in textbooks, precise assignments, or other details, but give a broad outline of topics to be covered. Outline may be organized thematically (by grouping related topics) or sequentially, showing topics for each week (or sets of weeks). </w:t>
      </w:r>
    </w:p>
    <w:p w14:paraId="35521B0B" w14:textId="3C0724FD" w:rsidR="000F7510" w:rsidRPr="00985C39" w:rsidRDefault="000F7510" w:rsidP="0065471D">
      <w:pPr>
        <w:ind w:left="1080"/>
      </w:pPr>
      <w:r w:rsidRPr="00985C39">
        <w:t>Include a disclaimer to allow for different ways of teaching th</w:t>
      </w:r>
      <w:r w:rsidR="00B54E48" w:rsidRPr="00985C39">
        <w:t>e course, such as the following</w:t>
      </w:r>
      <w:r w:rsidR="00B45BDF">
        <w:t>:</w:t>
      </w:r>
    </w:p>
    <w:p w14:paraId="34587472" w14:textId="77777777" w:rsidR="000F7510" w:rsidRPr="0065471D" w:rsidRDefault="000F7510" w:rsidP="0065471D">
      <w:pPr>
        <w:ind w:left="1080"/>
        <w:rPr>
          <w:color w:val="auto"/>
        </w:rPr>
      </w:pPr>
      <w:r w:rsidRPr="0065471D">
        <w:rPr>
          <w:color w:val="auto"/>
        </w:rPr>
        <w:t>This is a broad outline of topics to be covered. Subject matter and sequence of</w:t>
      </w:r>
      <w:r w:rsidR="00B54E48" w:rsidRPr="0065471D">
        <w:rPr>
          <w:color w:val="auto"/>
        </w:rPr>
        <w:t xml:space="preserve"> topics may vary by instructor.</w:t>
      </w:r>
    </w:p>
    <w:p w14:paraId="4077FDC0" w14:textId="3CE84AC8" w:rsidR="003D741B" w:rsidRPr="0030413B" w:rsidRDefault="003D741B" w:rsidP="0030413B">
      <w:pPr>
        <w:pStyle w:val="Heading3"/>
      </w:pPr>
      <w:r w:rsidRPr="0030413B">
        <w:t>PERCENTAGE OF CLASS TIME TO BE SPENT ON REQUIRED TOPICS</w:t>
      </w:r>
    </w:p>
    <w:p w14:paraId="564E7B67" w14:textId="0C93C5C8" w:rsidR="004918DF" w:rsidRPr="00985C39" w:rsidRDefault="00B45BDF" w:rsidP="0065471D">
      <w:pPr>
        <w:ind w:left="1080"/>
      </w:pPr>
      <w:r w:rsidRPr="00B45BDF">
        <w:rPr>
          <w:b/>
          <w:iCs/>
        </w:rPr>
        <w:t>This</w:t>
      </w:r>
      <w:r w:rsidR="001F7B29">
        <w:rPr>
          <w:b/>
          <w:iCs/>
        </w:rPr>
        <w:t xml:space="preserve"> section</w:t>
      </w:r>
      <w:r w:rsidRPr="00B45BDF">
        <w:rPr>
          <w:b/>
          <w:iCs/>
        </w:rPr>
        <w:t xml:space="preserve"> is optional but highly recommended for core courses.</w:t>
      </w:r>
      <w:r>
        <w:rPr>
          <w:bCs/>
          <w:iCs/>
        </w:rPr>
        <w:t xml:space="preserve"> </w:t>
      </w:r>
      <w:r w:rsidR="003D741B" w:rsidRPr="00985C39">
        <w:t>Include a statement detailing how much time should be spent on the required topics outlined above.</w:t>
      </w:r>
      <w:r>
        <w:t xml:space="preserve"> </w:t>
      </w:r>
    </w:p>
    <w:p w14:paraId="1BE0F14B" w14:textId="77777777" w:rsidR="000F7510" w:rsidRPr="0030413B" w:rsidRDefault="000F7510" w:rsidP="0030413B">
      <w:pPr>
        <w:pStyle w:val="Heading2"/>
      </w:pPr>
      <w:r w:rsidRPr="0030413B">
        <w:t>Methods of Instruction</w:t>
      </w:r>
      <w:r w:rsidR="00976D66" w:rsidRPr="0030413B">
        <w:t xml:space="preserve"> </w:t>
      </w:r>
    </w:p>
    <w:p w14:paraId="1F9579AE" w14:textId="47649900" w:rsidR="00327480" w:rsidRPr="0030413B" w:rsidRDefault="000E21BA" w:rsidP="0030413B">
      <w:pPr>
        <w:pStyle w:val="Heading3"/>
        <w:numPr>
          <w:ilvl w:val="0"/>
          <w:numId w:val="40"/>
        </w:numPr>
        <w:ind w:left="1170"/>
      </w:pPr>
      <w:r w:rsidRPr="0030413B">
        <w:t>I</w:t>
      </w:r>
      <w:r w:rsidR="004F15C8" w:rsidRPr="0030413B">
        <w:t>NSTRUCTION MODE</w:t>
      </w:r>
      <w:r w:rsidR="00C22915" w:rsidRPr="0030413B">
        <w:t xml:space="preserve"> </w:t>
      </w:r>
    </w:p>
    <w:p w14:paraId="006D0797" w14:textId="4791F635" w:rsidR="00B45BDF" w:rsidRPr="0065471D" w:rsidRDefault="00B45BDF" w:rsidP="0065471D">
      <w:r w:rsidRPr="0065471D">
        <w:t xml:space="preserve">Indicate one or more modes of instruction that this course is authorized to use. </w:t>
      </w:r>
    </w:p>
    <w:p w14:paraId="4469BADD" w14:textId="409D46C5" w:rsidR="00707525" w:rsidRDefault="00327480" w:rsidP="0065471D">
      <w:pPr>
        <w:rPr>
          <w:color w:val="auto"/>
        </w:rPr>
      </w:pPr>
      <w:bookmarkStart w:id="0" w:name="_Hlk73018893"/>
      <w:r w:rsidRPr="0065471D">
        <w:rPr>
          <w:color w:val="auto"/>
        </w:rPr>
        <w:t>May refer to</w:t>
      </w:r>
      <w:r w:rsidR="00A5190E" w:rsidRPr="0065471D">
        <w:rPr>
          <w:color w:val="auto"/>
        </w:rPr>
        <w:t xml:space="preserve"> </w:t>
      </w:r>
      <w:r w:rsidR="00B45BDF" w:rsidRPr="0065471D">
        <w:rPr>
          <w:color w:val="auto"/>
        </w:rPr>
        <w:t>u</w:t>
      </w:r>
      <w:r w:rsidR="00A5190E" w:rsidRPr="0065471D">
        <w:rPr>
          <w:color w:val="auto"/>
        </w:rPr>
        <w:t xml:space="preserve">niversity policies </w:t>
      </w:r>
      <w:r w:rsidR="00042B65" w:rsidRPr="0065471D">
        <w:rPr>
          <w:color w:val="auto"/>
        </w:rPr>
        <w:t xml:space="preserve">on </w:t>
      </w:r>
      <w:hyperlink r:id="rId10" w:history="1">
        <w:r w:rsidR="00A5190E" w:rsidRPr="00B45BDF">
          <w:rPr>
            <w:rStyle w:val="Hyperlink"/>
            <w:bCs/>
          </w:rPr>
          <w:t xml:space="preserve">Academic Technology and the Mode of </w:t>
        </w:r>
        <w:r w:rsidR="00042B65" w:rsidRPr="00B45BDF">
          <w:rPr>
            <w:rStyle w:val="Hyperlink"/>
            <w:bCs/>
          </w:rPr>
          <w:t>Instruction</w:t>
        </w:r>
      </w:hyperlink>
      <w:r w:rsidR="00A5190E" w:rsidRPr="005134A9">
        <w:t xml:space="preserve"> </w:t>
      </w:r>
      <w:r w:rsidR="00A5190E" w:rsidRPr="0065471D">
        <w:rPr>
          <w:color w:val="auto"/>
        </w:rPr>
        <w:t xml:space="preserve">and </w:t>
      </w:r>
      <w:hyperlink r:id="rId11" w:history="1">
        <w:r w:rsidR="00FC30C4" w:rsidRPr="00B45BDF">
          <w:rPr>
            <w:rStyle w:val="Hyperlink"/>
            <w:bCs/>
          </w:rPr>
          <w:t>Course Syllabi and Standard Course Outlines</w:t>
        </w:r>
      </w:hyperlink>
      <w:r w:rsidR="00A5190E" w:rsidRPr="0065471D">
        <w:rPr>
          <w:color w:val="auto"/>
        </w:rPr>
        <w:t>,</w:t>
      </w:r>
      <w:r w:rsidR="00B45BDF" w:rsidRPr="0065471D">
        <w:rPr>
          <w:color w:val="auto"/>
        </w:rPr>
        <w:t xml:space="preserve"> </w:t>
      </w:r>
      <w:r w:rsidR="00A5190E" w:rsidRPr="0065471D">
        <w:rPr>
          <w:color w:val="auto"/>
        </w:rPr>
        <w:t xml:space="preserve">for descriptions of modes of instruction and for </w:t>
      </w:r>
      <w:r w:rsidR="00C202EB" w:rsidRPr="0065471D">
        <w:rPr>
          <w:color w:val="auto"/>
        </w:rPr>
        <w:t xml:space="preserve">guidelines for non-traditional modes </w:t>
      </w:r>
      <w:r w:rsidR="0093495F" w:rsidRPr="0065471D">
        <w:rPr>
          <w:color w:val="auto"/>
        </w:rPr>
        <w:t>o</w:t>
      </w:r>
      <w:r w:rsidR="00EF7DAB" w:rsidRPr="0065471D">
        <w:rPr>
          <w:color w:val="auto"/>
        </w:rPr>
        <w:t>f instruction.</w:t>
      </w:r>
      <w:r w:rsidR="00B45BDF" w:rsidRPr="0065471D">
        <w:rPr>
          <w:color w:val="auto"/>
        </w:rPr>
        <w:t xml:space="preserve"> </w:t>
      </w:r>
      <w:r w:rsidR="00B45BDF" w:rsidRPr="00B45BDF">
        <w:rPr>
          <w:color w:val="auto"/>
        </w:rPr>
        <w:t>Syllabi must also contain an explicit statement describing the mode of instructional delivery.</w:t>
      </w:r>
    </w:p>
    <w:p w14:paraId="55C20095" w14:textId="3BD2B9B6" w:rsidR="001F7B29" w:rsidRPr="008F6EED" w:rsidRDefault="001F7B29" w:rsidP="001F7B29">
      <w:pPr>
        <w:rPr>
          <w:color w:val="auto"/>
          <w:highlight w:val="yellow"/>
        </w:rPr>
      </w:pPr>
      <w:bookmarkStart w:id="1" w:name="_Hlk73018871"/>
      <w:bookmarkEnd w:id="0"/>
      <w:r w:rsidRPr="008F6EED">
        <w:rPr>
          <w:color w:val="auto"/>
          <w:highlight w:val="yellow"/>
        </w:rPr>
        <w:t>This course can be offered in the following instruction modes, with the approval of the department chair, and subject to program requirements and college guidelines:</w:t>
      </w:r>
    </w:p>
    <w:bookmarkEnd w:id="1"/>
    <w:p w14:paraId="7D89E401" w14:textId="3FB4C336" w:rsidR="00B45BDF" w:rsidRPr="008F6EED" w:rsidRDefault="00B45BDF" w:rsidP="004A3264">
      <w:pPr>
        <w:pStyle w:val="ListParagraph"/>
        <w:numPr>
          <w:ilvl w:val="1"/>
          <w:numId w:val="30"/>
        </w:numPr>
        <w:rPr>
          <w:highlight w:val="yellow"/>
        </w:rPr>
      </w:pPr>
      <w:r w:rsidRPr="008F6EED">
        <w:rPr>
          <w:highlight w:val="yellow"/>
        </w:rPr>
        <w:t>Face-to-Face – Yes or No</w:t>
      </w:r>
    </w:p>
    <w:p w14:paraId="431D7BCF" w14:textId="4254CBE9" w:rsidR="00B45BDF" w:rsidRPr="008F6EED" w:rsidRDefault="00B45BDF" w:rsidP="004A3264">
      <w:pPr>
        <w:pStyle w:val="ListParagraph"/>
        <w:numPr>
          <w:ilvl w:val="1"/>
          <w:numId w:val="30"/>
        </w:numPr>
        <w:rPr>
          <w:highlight w:val="yellow"/>
        </w:rPr>
      </w:pPr>
      <w:r w:rsidRPr="008F6EED">
        <w:rPr>
          <w:highlight w:val="yellow"/>
        </w:rPr>
        <w:t>Hybrid – Yes or No</w:t>
      </w:r>
    </w:p>
    <w:p w14:paraId="436CF8BE" w14:textId="5BA3DFCB" w:rsidR="00B45BDF" w:rsidRPr="008F6EED" w:rsidRDefault="00B45BDF" w:rsidP="004A3264">
      <w:pPr>
        <w:pStyle w:val="ListParagraph"/>
        <w:numPr>
          <w:ilvl w:val="1"/>
          <w:numId w:val="30"/>
        </w:numPr>
        <w:rPr>
          <w:iCs/>
          <w:highlight w:val="yellow"/>
        </w:rPr>
      </w:pPr>
      <w:r w:rsidRPr="008F6EED">
        <w:rPr>
          <w:highlight w:val="yellow"/>
        </w:rPr>
        <w:t>Online Synchronous – Yes or No</w:t>
      </w:r>
    </w:p>
    <w:p w14:paraId="38CD4763" w14:textId="1BFD2834" w:rsidR="00B45BDF" w:rsidRPr="008F6EED" w:rsidRDefault="00B45BDF" w:rsidP="004A3264">
      <w:pPr>
        <w:pStyle w:val="ListParagraph"/>
        <w:numPr>
          <w:ilvl w:val="1"/>
          <w:numId w:val="30"/>
        </w:numPr>
        <w:rPr>
          <w:iCs/>
          <w:highlight w:val="yellow"/>
        </w:rPr>
      </w:pPr>
      <w:r w:rsidRPr="008F6EED">
        <w:rPr>
          <w:highlight w:val="yellow"/>
        </w:rPr>
        <w:t>Online Asynchronous – Yes or No</w:t>
      </w:r>
    </w:p>
    <w:p w14:paraId="3B311ABC" w14:textId="0572C6EA" w:rsidR="00877D66" w:rsidRPr="0030413B" w:rsidRDefault="00BA0BA5" w:rsidP="0030413B">
      <w:pPr>
        <w:pStyle w:val="Heading3"/>
      </w:pPr>
      <w:r w:rsidRPr="0030413B">
        <w:t>C</w:t>
      </w:r>
      <w:r w:rsidR="004F15C8" w:rsidRPr="0030413B">
        <w:t>LASSROOM ACTIVITIES</w:t>
      </w:r>
    </w:p>
    <w:p w14:paraId="65DB74D6" w14:textId="5A4E7780" w:rsidR="00127273" w:rsidRPr="0008620F" w:rsidRDefault="00B45BDF" w:rsidP="0065471D">
      <w:pPr>
        <w:ind w:left="1080"/>
      </w:pPr>
      <w:r w:rsidRPr="00B45BDF">
        <w:rPr>
          <w:b/>
        </w:rPr>
        <w:t xml:space="preserve">This </w:t>
      </w:r>
      <w:r w:rsidR="001F7B29">
        <w:rPr>
          <w:b/>
        </w:rPr>
        <w:t xml:space="preserve">section </w:t>
      </w:r>
      <w:r w:rsidRPr="00B45BDF">
        <w:rPr>
          <w:b/>
        </w:rPr>
        <w:t>is optional but highly recommended for core courses.</w:t>
      </w:r>
      <w:r>
        <w:t xml:space="preserve"> </w:t>
      </w:r>
      <w:r w:rsidR="00BA0BA5" w:rsidRPr="00995040">
        <w:t>Explain the nature of classroom activities. Is the course primarily lectures? Should there be opportunities for class discussion, group work, one-on-one instruction, and student presentations?</w:t>
      </w:r>
      <w:r w:rsidR="00127273">
        <w:t xml:space="preserve"> </w:t>
      </w:r>
    </w:p>
    <w:p w14:paraId="2F1E2E14" w14:textId="77777777" w:rsidR="00707525" w:rsidRDefault="00127273" w:rsidP="0065471D">
      <w:pPr>
        <w:ind w:left="1080"/>
      </w:pPr>
      <w:r w:rsidRPr="00995040">
        <w:t>If the course is a large lecture format, explain any opportunities for class discussion, student interaction, small group work, or other factors that would enhance active learning in this classroom environment.</w:t>
      </w:r>
    </w:p>
    <w:p w14:paraId="33DA842B" w14:textId="77777777" w:rsidR="001F7F64" w:rsidRPr="00035BCF" w:rsidRDefault="001F7F64" w:rsidP="0065471D">
      <w:pPr>
        <w:ind w:left="1080"/>
      </w:pPr>
      <w:r w:rsidRPr="00995040">
        <w:t xml:space="preserve">If film or other audio-visual materials are used in the course, indicate </w:t>
      </w:r>
      <w:proofErr w:type="gramStart"/>
      <w:r w:rsidRPr="00995040">
        <w:t>all of</w:t>
      </w:r>
      <w:proofErr w:type="gramEnd"/>
      <w:r w:rsidRPr="00995040">
        <w:t xml:space="preserve"> the following: (1) why those particular materials are necessary for the course, (2) the amount of class time devoted to those materials, and (3)</w:t>
      </w:r>
      <w:r w:rsidRPr="00995040">
        <w:rPr>
          <w:b/>
        </w:rPr>
        <w:t xml:space="preserve"> </w:t>
      </w:r>
      <w:r w:rsidRPr="00995040">
        <w:t>a pedagogical justification for why the materials require in-class viewing/listening, rather than out-of-class preparation time.</w:t>
      </w:r>
    </w:p>
    <w:p w14:paraId="6EFA6185" w14:textId="3C3F76D1" w:rsidR="00F44D3A" w:rsidRPr="0030413B" w:rsidRDefault="00F35BF3" w:rsidP="0030413B">
      <w:pPr>
        <w:pStyle w:val="Heading3"/>
      </w:pPr>
      <w:r w:rsidRPr="0030413B">
        <w:t>E</w:t>
      </w:r>
      <w:r w:rsidR="004F15C8" w:rsidRPr="0030413B">
        <w:t>XTENT AND NATURE OF TECHNOLOGY USE</w:t>
      </w:r>
    </w:p>
    <w:p w14:paraId="167C2CDF" w14:textId="086FEB3E" w:rsidR="00F35BF3" w:rsidRPr="00716D8B" w:rsidRDefault="00B45BDF" w:rsidP="0065471D">
      <w:pPr>
        <w:ind w:left="1080"/>
      </w:pPr>
      <w:r w:rsidRPr="00B45BDF">
        <w:rPr>
          <w:b/>
        </w:rPr>
        <w:lastRenderedPageBreak/>
        <w:t xml:space="preserve">This </w:t>
      </w:r>
      <w:r w:rsidR="001F7B29">
        <w:rPr>
          <w:b/>
        </w:rPr>
        <w:t xml:space="preserve">section </w:t>
      </w:r>
      <w:r w:rsidRPr="00B45BDF">
        <w:rPr>
          <w:b/>
        </w:rPr>
        <w:t>is optional but highly recommended for core courses.</w:t>
      </w:r>
      <w:r>
        <w:t xml:space="preserve"> </w:t>
      </w:r>
      <w:r w:rsidR="00F35BF3" w:rsidRPr="00995040">
        <w:t>State how instructors will require students to use technology as part of instruction</w:t>
      </w:r>
      <w:r w:rsidR="00F35BF3">
        <w:t>.</w:t>
      </w:r>
    </w:p>
    <w:p w14:paraId="7BA53B33" w14:textId="2775D018" w:rsidR="000F7510" w:rsidRPr="0065471D" w:rsidRDefault="000F7510" w:rsidP="0065471D">
      <w:pPr>
        <w:ind w:left="1080"/>
        <w:rPr>
          <w:rStyle w:val="SubtleEmphasis"/>
          <w:i w:val="0"/>
          <w:iCs/>
          <w:color w:val="auto"/>
        </w:rPr>
      </w:pPr>
      <w:r w:rsidRPr="0065471D">
        <w:rPr>
          <w:rStyle w:val="SubtleEmphasis"/>
          <w:i w:val="0"/>
          <w:iCs/>
          <w:color w:val="auto"/>
        </w:rPr>
        <w:t xml:space="preserve">The use of technology will depend on individual instructors, but </w:t>
      </w:r>
      <w:r w:rsidR="00D86A2F">
        <w:rPr>
          <w:rStyle w:val="SubtleEmphasis"/>
          <w:i w:val="0"/>
          <w:iCs/>
          <w:color w:val="auto"/>
        </w:rPr>
        <w:t>should</w:t>
      </w:r>
      <w:r w:rsidRPr="0065471D">
        <w:rPr>
          <w:rStyle w:val="SubtleEmphasis"/>
          <w:i w:val="0"/>
          <w:iCs/>
          <w:color w:val="auto"/>
        </w:rPr>
        <w:t xml:space="preserve"> include BeachBoard, should include the development of familiarity with web resources specific to the course, and may include assignments that involve the evaluation of web materials on the subjects. Students may be made familiar, if they are not already, with relevant search databases in the library. Film and video</w:t>
      </w:r>
      <w:r w:rsidR="001F4140" w:rsidRPr="0065471D">
        <w:rPr>
          <w:rStyle w:val="SubtleEmphasis"/>
          <w:i w:val="0"/>
          <w:iCs/>
          <w:color w:val="auto"/>
        </w:rPr>
        <w:t xml:space="preserve"> </w:t>
      </w:r>
      <w:r w:rsidRPr="0065471D">
        <w:rPr>
          <w:rStyle w:val="SubtleEmphasis"/>
          <w:i w:val="0"/>
          <w:iCs/>
          <w:color w:val="auto"/>
        </w:rPr>
        <w:t>may be used in the classroom.</w:t>
      </w:r>
    </w:p>
    <w:p w14:paraId="0CDD0ABE" w14:textId="77777777" w:rsidR="000F7510" w:rsidRPr="0030413B" w:rsidRDefault="00AF2C9E" w:rsidP="0030413B">
      <w:pPr>
        <w:pStyle w:val="Heading2"/>
      </w:pPr>
      <w:r w:rsidRPr="0030413B">
        <w:t xml:space="preserve">Information about </w:t>
      </w:r>
      <w:r w:rsidR="000F7510" w:rsidRPr="0030413B">
        <w:t>Textbooks</w:t>
      </w:r>
      <w:r w:rsidR="00E37F20" w:rsidRPr="0030413B">
        <w:t>/</w:t>
      </w:r>
      <w:r w:rsidR="001E0C28" w:rsidRPr="0030413B">
        <w:t>Readings</w:t>
      </w:r>
    </w:p>
    <w:p w14:paraId="16F1CE34" w14:textId="77777777" w:rsidR="000F7510" w:rsidRPr="00995040" w:rsidRDefault="000F7510" w:rsidP="0065471D">
      <w:pPr>
        <w:rPr>
          <w:iCs/>
        </w:rPr>
      </w:pPr>
      <w:r w:rsidRPr="00323B35">
        <w:rPr>
          <w:rStyle w:val="IntenseEmphasis"/>
        </w:rPr>
        <w:t>If there is a required text for the course, state so here. If not, provide a brief list of possible textbooks to be used. Include a disclaimer such as the following</w:t>
      </w:r>
      <w:r w:rsidRPr="00995040">
        <w:rPr>
          <w:iCs/>
        </w:rPr>
        <w:t>:</w:t>
      </w:r>
    </w:p>
    <w:p w14:paraId="4992D1FA" w14:textId="77777777" w:rsidR="0065471D" w:rsidRPr="0065471D" w:rsidRDefault="0065471D" w:rsidP="0065471D">
      <w:pPr>
        <w:rPr>
          <w:color w:val="auto"/>
        </w:rPr>
      </w:pPr>
      <w:r w:rsidRPr="0065471D">
        <w:rPr>
          <w:color w:val="auto"/>
        </w:rPr>
        <w:t xml:space="preserve">The following is a short list of textbooks that are most likely to be used for this course. Instructors may assign one or more of these and/or include other relevant texts/readings. Instructors may be asked to justify the use of old </w:t>
      </w:r>
      <w:proofErr w:type="gramStart"/>
      <w:r w:rsidRPr="0065471D">
        <w:rPr>
          <w:color w:val="auto"/>
        </w:rPr>
        <w:t>textbooks, if</w:t>
      </w:r>
      <w:proofErr w:type="gramEnd"/>
      <w:r w:rsidRPr="0065471D">
        <w:rPr>
          <w:color w:val="auto"/>
        </w:rPr>
        <w:t xml:space="preserve"> updated texts are available.</w:t>
      </w:r>
    </w:p>
    <w:p w14:paraId="5889034A" w14:textId="77777777" w:rsidR="000F7510" w:rsidRPr="0030413B" w:rsidRDefault="000F7510" w:rsidP="0030413B">
      <w:pPr>
        <w:pStyle w:val="Heading2"/>
      </w:pPr>
      <w:r w:rsidRPr="0030413B">
        <w:t>Instructional Policies Requirements</w:t>
      </w:r>
    </w:p>
    <w:p w14:paraId="1B5007B9" w14:textId="7A3A6598" w:rsidR="000F7510" w:rsidRDefault="000F7510" w:rsidP="0065471D">
      <w:r w:rsidRPr="00995040">
        <w:t xml:space="preserve">List course policies that every instructor must follow. Include a reference to University </w:t>
      </w:r>
      <w:r w:rsidR="00316C52" w:rsidRPr="00995040">
        <w:t>polic</w:t>
      </w:r>
      <w:r w:rsidR="00316C52">
        <w:t>ies</w:t>
      </w:r>
      <w:r w:rsidR="00316C52" w:rsidRPr="00995040">
        <w:t xml:space="preserve"> </w:t>
      </w:r>
      <w:r w:rsidRPr="00995040">
        <w:t>on instructional issues. Make it explicit that such policies should appear on course syllabi.</w:t>
      </w:r>
    </w:p>
    <w:p w14:paraId="5136D77F" w14:textId="3B8ABE94" w:rsidR="0065471D" w:rsidRPr="00995040" w:rsidRDefault="0065471D" w:rsidP="0065471D">
      <w:pPr>
        <w:rPr>
          <w:iCs/>
        </w:rPr>
      </w:pPr>
      <w:r w:rsidRPr="0065471D">
        <w:rPr>
          <w:color w:val="auto"/>
        </w:rPr>
        <w:t xml:space="preserve">Instructor’s syllabi must contain explicit statements regarding their own policies </w:t>
      </w:r>
      <w:proofErr w:type="gramStart"/>
      <w:r w:rsidRPr="0065471D">
        <w:rPr>
          <w:color w:val="auto"/>
        </w:rPr>
        <w:t>with regard to</w:t>
      </w:r>
      <w:proofErr w:type="gramEnd"/>
      <w:r w:rsidRPr="0065471D">
        <w:rPr>
          <w:color w:val="auto"/>
        </w:rPr>
        <w:t xml:space="preserve"> plagiarism, withdrawal, absences, etc., which should be consistent with the university policies published in the CSULB Catalog. It is expected that every course will follow </w:t>
      </w:r>
      <w:r w:rsidRPr="0065471D">
        <w:rPr>
          <w:bCs/>
          <w:iCs/>
          <w:color w:val="auto"/>
        </w:rPr>
        <w:t>university policies</w:t>
      </w:r>
      <w:r w:rsidRPr="0065471D">
        <w:rPr>
          <w:color w:val="auto"/>
        </w:rPr>
        <w:t xml:space="preserve"> on </w:t>
      </w:r>
      <w:hyperlink r:id="rId12" w:history="1">
        <w:r w:rsidRPr="00C00A6A">
          <w:rPr>
            <w:rStyle w:val="Hyperlink"/>
          </w:rPr>
          <w:t>Attendance</w:t>
        </w:r>
      </w:hyperlink>
      <w:r w:rsidRPr="00042B65">
        <w:t xml:space="preserve">, </w:t>
      </w:r>
      <w:hyperlink r:id="rId13" w:history="1">
        <w:r w:rsidRPr="00C00A6A">
          <w:rPr>
            <w:rStyle w:val="Hyperlink"/>
          </w:rPr>
          <w:t>Course Syllabi &amp; Standard Course Outlines</w:t>
        </w:r>
      </w:hyperlink>
      <w:r w:rsidRPr="0065471D">
        <w:rPr>
          <w:color w:val="auto"/>
        </w:rPr>
        <w:t xml:space="preserve"> and </w:t>
      </w:r>
      <w:hyperlink r:id="rId14" w:history="1">
        <w:r w:rsidRPr="00C00A6A">
          <w:rPr>
            <w:rStyle w:val="Hyperlink"/>
          </w:rPr>
          <w:t>Final Course Grades, Grading Procedures, and Final Assessments</w:t>
        </w:r>
      </w:hyperlink>
      <w:r w:rsidRPr="00042B65">
        <w:t xml:space="preserve">. </w:t>
      </w:r>
      <w:r w:rsidRPr="004516B4">
        <w:rPr>
          <w:color w:val="auto"/>
        </w:rPr>
        <w:t xml:space="preserve">If some or all sections of the course are to be taught, in part or entirely, by distance learning, the course must follow the provisions of </w:t>
      </w:r>
      <w:r w:rsidRPr="004516B4">
        <w:rPr>
          <w:bCs/>
          <w:iCs/>
          <w:color w:val="auto"/>
        </w:rPr>
        <w:t>university policy</w:t>
      </w:r>
      <w:r w:rsidRPr="004516B4">
        <w:rPr>
          <w:color w:val="auto"/>
        </w:rPr>
        <w:t xml:space="preserve"> on </w:t>
      </w:r>
      <w:hyperlink r:id="rId15" w:history="1">
        <w:r w:rsidRPr="006928B2">
          <w:rPr>
            <w:rStyle w:val="Hyperlink"/>
          </w:rPr>
          <w:t>Academic Technology and the Mode of Instruction</w:t>
        </w:r>
      </w:hyperlink>
      <w:r w:rsidRPr="004516B4">
        <w:rPr>
          <w:color w:val="auto"/>
        </w:rPr>
        <w:t>.</w:t>
      </w:r>
      <w:r w:rsidRPr="004516B4">
        <w:rPr>
          <w:rStyle w:val="FootnoteReference"/>
          <w:bCs/>
          <w:i/>
          <w:color w:val="auto"/>
        </w:rPr>
        <w:t xml:space="preserve"> </w:t>
      </w:r>
      <w:r w:rsidRPr="004516B4">
        <w:rPr>
          <w:color w:val="auto"/>
        </w:rPr>
        <w:t xml:space="preserve">Instructors should refer to the current </w:t>
      </w:r>
      <w:hyperlink r:id="rId16" w:history="1">
        <w:r w:rsidRPr="006928B2">
          <w:rPr>
            <w:rStyle w:val="Hyperlink"/>
            <w:bCs/>
            <w:iCs/>
          </w:rPr>
          <w:t>CSULB Catalog</w:t>
        </w:r>
        <w:r w:rsidRPr="004516B4">
          <w:rPr>
            <w:rStyle w:val="Hyperlink"/>
            <w:bCs/>
            <w:i/>
            <w:u w:val="none"/>
          </w:rPr>
          <w:t xml:space="preserve"> </w:t>
        </w:r>
      </w:hyperlink>
      <w:r w:rsidRPr="004516B4">
        <w:rPr>
          <w:color w:val="auto"/>
        </w:rPr>
        <w:t xml:space="preserve">and to the </w:t>
      </w:r>
      <w:hyperlink r:id="rId17" w:history="1">
        <w:r w:rsidRPr="006928B2">
          <w:rPr>
            <w:rStyle w:val="Hyperlink"/>
            <w:bCs/>
          </w:rPr>
          <w:t>Academic Senate website</w:t>
        </w:r>
      </w:hyperlink>
      <w:r>
        <w:t xml:space="preserve"> </w:t>
      </w:r>
      <w:r w:rsidRPr="004516B4">
        <w:rPr>
          <w:color w:val="auto"/>
        </w:rPr>
        <w:t>for campus guidelines and policy statements as they develop their individual course policies.</w:t>
      </w:r>
    </w:p>
    <w:p w14:paraId="3FF6066B" w14:textId="77777777" w:rsidR="0065471D" w:rsidRPr="00B423B0" w:rsidRDefault="0065471D" w:rsidP="0065471D">
      <w:pPr>
        <w:rPr>
          <w:rStyle w:val="IntenseEmphasis"/>
          <w:color w:val="auto"/>
        </w:rPr>
      </w:pPr>
      <w:r w:rsidRPr="00B423B0">
        <w:rPr>
          <w:rStyle w:val="IntenseEmphasis"/>
          <w:color w:val="auto"/>
        </w:rPr>
        <w:t>All sections of the course will have a syllabus that includes the information required by the syllabi policy adopted by the Academic Senate. Instructors will include information on how students may make up work for excused absences. When class participation is a required part of the course, syllabi will include information on how participation is assessed. When improvement in oral communication is an objective of the course, syllabus will include a rubric for how oral communication is to be evaluated.</w:t>
      </w:r>
    </w:p>
    <w:p w14:paraId="4B660BBC" w14:textId="152FF013" w:rsidR="007550D8" w:rsidRPr="0030413B" w:rsidRDefault="00362BF1" w:rsidP="0030413B">
      <w:pPr>
        <w:pStyle w:val="Heading2"/>
      </w:pPr>
      <w:r w:rsidRPr="0030413B">
        <w:t xml:space="preserve">Course Assessment </w:t>
      </w:r>
      <w:r w:rsidR="00C26C9B" w:rsidRPr="0030413B">
        <w:t>and</w:t>
      </w:r>
      <w:r w:rsidRPr="0030413B">
        <w:t xml:space="preserve"> </w:t>
      </w:r>
      <w:r w:rsidR="007314FF" w:rsidRPr="0030413B">
        <w:t>Grading</w:t>
      </w:r>
    </w:p>
    <w:p w14:paraId="797A5AEC" w14:textId="48FA7992" w:rsidR="004516B4" w:rsidRPr="004516B4" w:rsidRDefault="004516B4" w:rsidP="004516B4">
      <w:r w:rsidRPr="00B45BDF">
        <w:rPr>
          <w:b/>
        </w:rPr>
        <w:t xml:space="preserve">This </w:t>
      </w:r>
      <w:r w:rsidR="001F7B29">
        <w:rPr>
          <w:b/>
        </w:rPr>
        <w:t xml:space="preserve">section </w:t>
      </w:r>
      <w:r w:rsidRPr="00B45BDF">
        <w:rPr>
          <w:b/>
        </w:rPr>
        <w:t>is optional but highly recommended for core courses.</w:t>
      </w:r>
    </w:p>
    <w:p w14:paraId="49373771" w14:textId="77777777" w:rsidR="004516B4" w:rsidRPr="0030413B" w:rsidRDefault="00FA0E84" w:rsidP="0030413B">
      <w:pPr>
        <w:pStyle w:val="Heading3"/>
        <w:numPr>
          <w:ilvl w:val="0"/>
          <w:numId w:val="41"/>
        </w:numPr>
        <w:ind w:left="1080"/>
      </w:pPr>
      <w:r w:rsidRPr="0030413B">
        <w:t>DESCRIPTION OF ASSESSMENT</w:t>
      </w:r>
    </w:p>
    <w:p w14:paraId="24DCF75A" w14:textId="0F8A56F9" w:rsidR="00B16311" w:rsidRPr="0065471D" w:rsidRDefault="00FE0747" w:rsidP="004516B4">
      <w:pPr>
        <w:ind w:left="1080"/>
        <w:rPr>
          <w:iCs/>
        </w:rPr>
      </w:pPr>
      <w:r w:rsidRPr="0081527B">
        <w:t xml:space="preserve">The SCO should contain a description of key assessments that measure student performance on course Student Learning Outcomes (SLOs). </w:t>
      </w:r>
      <w:r w:rsidR="000F7510" w:rsidRPr="0065471D">
        <w:rPr>
          <w:iCs/>
        </w:rPr>
        <w:t xml:space="preserve">If the course has mandatory assignments (e.g., term paper, in-class final exam, </w:t>
      </w:r>
      <w:r w:rsidR="000F7510" w:rsidRPr="0081527B">
        <w:t>3</w:t>
      </w:r>
      <w:r w:rsidR="000F7510" w:rsidRPr="0008620F">
        <w:t xml:space="preserve"> </w:t>
      </w:r>
      <w:r w:rsidR="000F7510" w:rsidRPr="0065471D">
        <w:rPr>
          <w:iCs/>
        </w:rPr>
        <w:t xml:space="preserve">oral presentations) or mandatory formatting of assignments (e.g., multiple-choice questions should comprise no more than </w:t>
      </w:r>
      <w:r w:rsidR="000F7510" w:rsidRPr="0081527B">
        <w:t xml:space="preserve">50% </w:t>
      </w:r>
      <w:r w:rsidR="000F7510" w:rsidRPr="0065471D">
        <w:rPr>
          <w:iCs/>
        </w:rPr>
        <w:t xml:space="preserve">of the total point value of exams), identify them here. For every course, provide a bulleted list of </w:t>
      </w:r>
      <w:r w:rsidR="00DF008F" w:rsidRPr="0065471D">
        <w:rPr>
          <w:iCs/>
        </w:rPr>
        <w:t xml:space="preserve">any required </w:t>
      </w:r>
      <w:r w:rsidR="000F7510" w:rsidRPr="0065471D">
        <w:rPr>
          <w:iCs/>
        </w:rPr>
        <w:t>assignments with approximate percentages of course grade breakdown for various assignments.</w:t>
      </w:r>
    </w:p>
    <w:p w14:paraId="35A95079" w14:textId="45C82D44" w:rsidR="00B16311" w:rsidRDefault="00B16311" w:rsidP="004516B4">
      <w:pPr>
        <w:ind w:left="1080"/>
        <w:rPr>
          <w:color w:val="auto"/>
        </w:rPr>
      </w:pPr>
      <w:r w:rsidRPr="004516B4">
        <w:rPr>
          <w:color w:val="auto"/>
        </w:rPr>
        <w:lastRenderedPageBreak/>
        <w:t>The exact set of course assignments will vary depending on the instructor. University policy requires that no single evaluation of student achievement may count for more than one-third of final grade. The assignments may include the following.</w:t>
      </w:r>
    </w:p>
    <w:tbl>
      <w:tblPr>
        <w:tblStyle w:val="TableGrid"/>
        <w:tblW w:w="8280" w:type="dxa"/>
        <w:tblInd w:w="1075" w:type="dxa"/>
        <w:tblLook w:val="04A0" w:firstRow="1" w:lastRow="0" w:firstColumn="1" w:lastColumn="0" w:noHBand="0" w:noVBand="1"/>
      </w:tblPr>
      <w:tblGrid>
        <w:gridCol w:w="4242"/>
        <w:gridCol w:w="1878"/>
        <w:gridCol w:w="2160"/>
      </w:tblGrid>
      <w:tr w:rsidR="004516B4" w:rsidRPr="004516B4" w14:paraId="453815FF" w14:textId="77777777" w:rsidTr="004516B4">
        <w:trPr>
          <w:tblHeader/>
        </w:trPr>
        <w:tc>
          <w:tcPr>
            <w:tcW w:w="4242" w:type="dxa"/>
            <w:hideMark/>
          </w:tcPr>
          <w:p w14:paraId="1E28B91E" w14:textId="77777777" w:rsidR="004516B4" w:rsidRPr="004516B4" w:rsidRDefault="004516B4" w:rsidP="00F40AF5">
            <w:pPr>
              <w:spacing w:before="0" w:after="0"/>
              <w:ind w:left="162"/>
              <w:rPr>
                <w:b/>
                <w:bCs/>
                <w:color w:val="auto"/>
              </w:rPr>
            </w:pPr>
            <w:bookmarkStart w:id="2" w:name="_Hlk73016689"/>
            <w:r w:rsidRPr="004516B4">
              <w:rPr>
                <w:b/>
                <w:bCs/>
                <w:color w:val="auto"/>
              </w:rPr>
              <w:t>Assignment Description</w:t>
            </w:r>
          </w:p>
        </w:tc>
        <w:tc>
          <w:tcPr>
            <w:tcW w:w="1878" w:type="dxa"/>
            <w:hideMark/>
          </w:tcPr>
          <w:p w14:paraId="1B528247" w14:textId="77777777" w:rsidR="004516B4" w:rsidRPr="004516B4" w:rsidRDefault="004516B4" w:rsidP="00F40AF5">
            <w:pPr>
              <w:spacing w:before="0" w:after="0"/>
              <w:ind w:left="234"/>
              <w:rPr>
                <w:b/>
                <w:bCs/>
                <w:color w:val="auto"/>
              </w:rPr>
            </w:pPr>
            <w:r w:rsidRPr="004516B4">
              <w:rPr>
                <w:b/>
                <w:bCs/>
                <w:color w:val="auto"/>
              </w:rPr>
              <w:t>Linked to SLO</w:t>
            </w:r>
          </w:p>
        </w:tc>
        <w:tc>
          <w:tcPr>
            <w:tcW w:w="2160" w:type="dxa"/>
            <w:hideMark/>
          </w:tcPr>
          <w:p w14:paraId="475C911E" w14:textId="77777777" w:rsidR="004516B4" w:rsidRPr="004516B4" w:rsidRDefault="004516B4" w:rsidP="00F40AF5">
            <w:pPr>
              <w:spacing w:before="0" w:after="0"/>
              <w:ind w:left="102"/>
              <w:rPr>
                <w:b/>
                <w:bCs/>
                <w:color w:val="auto"/>
              </w:rPr>
            </w:pPr>
            <w:r w:rsidRPr="004516B4">
              <w:rPr>
                <w:b/>
                <w:bCs/>
                <w:color w:val="auto"/>
              </w:rPr>
              <w:t xml:space="preserve">% </w:t>
            </w:r>
            <w:proofErr w:type="gramStart"/>
            <w:r w:rsidRPr="004516B4">
              <w:rPr>
                <w:b/>
                <w:bCs/>
                <w:color w:val="auto"/>
              </w:rPr>
              <w:t>of Course</w:t>
            </w:r>
            <w:proofErr w:type="gramEnd"/>
            <w:r w:rsidRPr="004516B4">
              <w:rPr>
                <w:b/>
                <w:bCs/>
                <w:color w:val="auto"/>
              </w:rPr>
              <w:t xml:space="preserve"> Grade</w:t>
            </w:r>
          </w:p>
        </w:tc>
      </w:tr>
      <w:tr w:rsidR="004516B4" w:rsidRPr="004516B4" w14:paraId="19D69826" w14:textId="77777777" w:rsidTr="004516B4">
        <w:tc>
          <w:tcPr>
            <w:tcW w:w="4242" w:type="dxa"/>
            <w:hideMark/>
          </w:tcPr>
          <w:p w14:paraId="13B0B945" w14:textId="09B910DC" w:rsidR="004516B4" w:rsidRPr="004516B4" w:rsidRDefault="004516B4" w:rsidP="00F40AF5">
            <w:pPr>
              <w:spacing w:before="0" w:after="0"/>
              <w:ind w:left="162"/>
              <w:rPr>
                <w:color w:val="auto"/>
              </w:rPr>
            </w:pPr>
            <w:r w:rsidRPr="004516B4">
              <w:rPr>
                <w:color w:val="auto"/>
              </w:rPr>
              <w:t xml:space="preserve">Assignment #1 </w:t>
            </w:r>
            <w:r w:rsidRPr="004516B4">
              <w:rPr>
                <w:color w:val="auto"/>
              </w:rPr>
              <w:br/>
            </w:r>
            <w:r>
              <w:rPr>
                <w:color w:val="auto"/>
              </w:rPr>
              <w:t>Title and/or Description of Assignment</w:t>
            </w:r>
          </w:p>
        </w:tc>
        <w:tc>
          <w:tcPr>
            <w:tcW w:w="1878" w:type="dxa"/>
            <w:vAlign w:val="center"/>
            <w:hideMark/>
          </w:tcPr>
          <w:p w14:paraId="7DC0598A" w14:textId="77777777" w:rsidR="004516B4" w:rsidRPr="004516B4" w:rsidRDefault="004516B4" w:rsidP="00F40AF5">
            <w:pPr>
              <w:spacing w:before="0" w:after="0"/>
              <w:ind w:left="234"/>
              <w:jc w:val="center"/>
              <w:rPr>
                <w:color w:val="auto"/>
              </w:rPr>
            </w:pPr>
            <w:r w:rsidRPr="004516B4">
              <w:rPr>
                <w:color w:val="auto"/>
              </w:rPr>
              <w:t>SLO #3</w:t>
            </w:r>
          </w:p>
        </w:tc>
        <w:tc>
          <w:tcPr>
            <w:tcW w:w="2160" w:type="dxa"/>
            <w:vAlign w:val="center"/>
            <w:hideMark/>
          </w:tcPr>
          <w:p w14:paraId="5737FC4A" w14:textId="6668E861" w:rsidR="004516B4" w:rsidRPr="004516B4" w:rsidRDefault="004516B4" w:rsidP="00F40AF5">
            <w:pPr>
              <w:spacing w:before="0" w:after="0"/>
              <w:ind w:left="102"/>
              <w:jc w:val="center"/>
              <w:rPr>
                <w:color w:val="auto"/>
              </w:rPr>
            </w:pPr>
            <w:r>
              <w:rPr>
                <w:color w:val="auto"/>
              </w:rPr>
              <w:t>xx</w:t>
            </w:r>
            <w:r w:rsidRPr="004516B4">
              <w:rPr>
                <w:color w:val="auto"/>
              </w:rPr>
              <w:t>%</w:t>
            </w:r>
          </w:p>
        </w:tc>
      </w:tr>
      <w:tr w:rsidR="004516B4" w:rsidRPr="004516B4" w14:paraId="4A3279C9" w14:textId="77777777" w:rsidTr="004516B4">
        <w:tc>
          <w:tcPr>
            <w:tcW w:w="4242" w:type="dxa"/>
            <w:hideMark/>
          </w:tcPr>
          <w:p w14:paraId="5897A78B" w14:textId="5E0A0874" w:rsidR="004516B4" w:rsidRPr="004516B4" w:rsidRDefault="004516B4" w:rsidP="00F40AF5">
            <w:pPr>
              <w:spacing w:before="0" w:after="0"/>
              <w:ind w:left="162"/>
              <w:rPr>
                <w:color w:val="auto"/>
              </w:rPr>
            </w:pPr>
            <w:r w:rsidRPr="004516B4">
              <w:rPr>
                <w:color w:val="auto"/>
              </w:rPr>
              <w:t>Assignment #2</w:t>
            </w:r>
            <w:r w:rsidRPr="004516B4">
              <w:rPr>
                <w:color w:val="auto"/>
              </w:rPr>
              <w:br/>
            </w:r>
            <w:r>
              <w:rPr>
                <w:color w:val="auto"/>
              </w:rPr>
              <w:t>Title and/or Description of Assignment</w:t>
            </w:r>
          </w:p>
        </w:tc>
        <w:tc>
          <w:tcPr>
            <w:tcW w:w="1878" w:type="dxa"/>
            <w:vAlign w:val="center"/>
            <w:hideMark/>
          </w:tcPr>
          <w:p w14:paraId="4D03731C" w14:textId="77777777" w:rsidR="004516B4" w:rsidRPr="004516B4" w:rsidRDefault="004516B4" w:rsidP="00F40AF5">
            <w:pPr>
              <w:spacing w:before="0" w:after="0"/>
              <w:ind w:left="234"/>
              <w:jc w:val="center"/>
              <w:rPr>
                <w:color w:val="auto"/>
              </w:rPr>
            </w:pPr>
            <w:r w:rsidRPr="004516B4">
              <w:rPr>
                <w:color w:val="auto"/>
              </w:rPr>
              <w:t>SLO #2 and 3</w:t>
            </w:r>
          </w:p>
        </w:tc>
        <w:tc>
          <w:tcPr>
            <w:tcW w:w="2160" w:type="dxa"/>
            <w:vAlign w:val="center"/>
            <w:hideMark/>
          </w:tcPr>
          <w:p w14:paraId="1863DD6E" w14:textId="68F4D6B7" w:rsidR="004516B4" w:rsidRPr="004516B4" w:rsidRDefault="004516B4" w:rsidP="00F40AF5">
            <w:pPr>
              <w:spacing w:before="0" w:after="0"/>
              <w:ind w:left="102"/>
              <w:jc w:val="center"/>
              <w:rPr>
                <w:color w:val="auto"/>
              </w:rPr>
            </w:pPr>
            <w:r>
              <w:rPr>
                <w:color w:val="auto"/>
              </w:rPr>
              <w:t>xx</w:t>
            </w:r>
            <w:r w:rsidRPr="004516B4">
              <w:rPr>
                <w:color w:val="auto"/>
              </w:rPr>
              <w:t>%</w:t>
            </w:r>
          </w:p>
        </w:tc>
      </w:tr>
      <w:tr w:rsidR="004516B4" w:rsidRPr="004516B4" w14:paraId="3F4CD6C7" w14:textId="77777777" w:rsidTr="004516B4">
        <w:tc>
          <w:tcPr>
            <w:tcW w:w="4242" w:type="dxa"/>
            <w:hideMark/>
          </w:tcPr>
          <w:p w14:paraId="0D76F009" w14:textId="2C19336B" w:rsidR="004516B4" w:rsidRPr="004516B4" w:rsidRDefault="004516B4" w:rsidP="00F40AF5">
            <w:pPr>
              <w:spacing w:before="0" w:after="0"/>
              <w:ind w:left="162"/>
              <w:rPr>
                <w:color w:val="auto"/>
              </w:rPr>
            </w:pPr>
            <w:r w:rsidRPr="004516B4">
              <w:rPr>
                <w:color w:val="auto"/>
              </w:rPr>
              <w:t>Assignment #3</w:t>
            </w:r>
            <w:r w:rsidRPr="004516B4">
              <w:rPr>
                <w:color w:val="auto"/>
              </w:rPr>
              <w:br/>
            </w:r>
            <w:r>
              <w:rPr>
                <w:color w:val="auto"/>
              </w:rPr>
              <w:t>Title and/or Description of Assignment</w:t>
            </w:r>
          </w:p>
        </w:tc>
        <w:tc>
          <w:tcPr>
            <w:tcW w:w="1878" w:type="dxa"/>
            <w:vAlign w:val="center"/>
            <w:hideMark/>
          </w:tcPr>
          <w:p w14:paraId="26E33ED8" w14:textId="77777777" w:rsidR="004516B4" w:rsidRPr="004516B4" w:rsidRDefault="004516B4" w:rsidP="00F40AF5">
            <w:pPr>
              <w:spacing w:before="0" w:after="0"/>
              <w:ind w:left="234"/>
              <w:jc w:val="center"/>
              <w:rPr>
                <w:color w:val="auto"/>
              </w:rPr>
            </w:pPr>
            <w:r w:rsidRPr="004516B4">
              <w:rPr>
                <w:color w:val="auto"/>
              </w:rPr>
              <w:t>SLO #1</w:t>
            </w:r>
          </w:p>
        </w:tc>
        <w:tc>
          <w:tcPr>
            <w:tcW w:w="2160" w:type="dxa"/>
            <w:vAlign w:val="center"/>
            <w:hideMark/>
          </w:tcPr>
          <w:p w14:paraId="76EEB96F" w14:textId="07F8BE07" w:rsidR="004516B4" w:rsidRPr="004516B4" w:rsidRDefault="004516B4" w:rsidP="00F40AF5">
            <w:pPr>
              <w:spacing w:before="0" w:after="0"/>
              <w:ind w:left="102"/>
              <w:jc w:val="center"/>
              <w:rPr>
                <w:color w:val="auto"/>
              </w:rPr>
            </w:pPr>
            <w:r>
              <w:rPr>
                <w:color w:val="auto"/>
              </w:rPr>
              <w:t>xx</w:t>
            </w:r>
            <w:r w:rsidRPr="004516B4">
              <w:rPr>
                <w:color w:val="auto"/>
              </w:rPr>
              <w:t>%</w:t>
            </w:r>
          </w:p>
        </w:tc>
      </w:tr>
      <w:tr w:rsidR="004516B4" w:rsidRPr="004516B4" w14:paraId="562B926D" w14:textId="77777777" w:rsidTr="004516B4">
        <w:tc>
          <w:tcPr>
            <w:tcW w:w="4242" w:type="dxa"/>
            <w:hideMark/>
          </w:tcPr>
          <w:p w14:paraId="01D86916" w14:textId="062C3696" w:rsidR="004516B4" w:rsidRPr="004516B4" w:rsidRDefault="004516B4" w:rsidP="00F40AF5">
            <w:pPr>
              <w:spacing w:before="0" w:after="0"/>
              <w:ind w:left="162"/>
              <w:rPr>
                <w:color w:val="auto"/>
              </w:rPr>
            </w:pPr>
            <w:r w:rsidRPr="004516B4">
              <w:rPr>
                <w:color w:val="auto"/>
              </w:rPr>
              <w:t>Assignment #4</w:t>
            </w:r>
            <w:r w:rsidRPr="004516B4">
              <w:rPr>
                <w:color w:val="auto"/>
              </w:rPr>
              <w:br/>
            </w:r>
            <w:r>
              <w:rPr>
                <w:color w:val="auto"/>
              </w:rPr>
              <w:t>Title and/or Description of Assignment</w:t>
            </w:r>
          </w:p>
        </w:tc>
        <w:tc>
          <w:tcPr>
            <w:tcW w:w="1878" w:type="dxa"/>
            <w:vAlign w:val="center"/>
            <w:hideMark/>
          </w:tcPr>
          <w:p w14:paraId="66442DD5" w14:textId="77777777" w:rsidR="004516B4" w:rsidRPr="004516B4" w:rsidRDefault="004516B4" w:rsidP="00F40AF5">
            <w:pPr>
              <w:spacing w:before="0" w:after="0"/>
              <w:ind w:left="234"/>
              <w:jc w:val="center"/>
              <w:rPr>
                <w:color w:val="auto"/>
              </w:rPr>
            </w:pPr>
            <w:r w:rsidRPr="004516B4">
              <w:rPr>
                <w:color w:val="auto"/>
              </w:rPr>
              <w:t>SLO #4</w:t>
            </w:r>
          </w:p>
        </w:tc>
        <w:tc>
          <w:tcPr>
            <w:tcW w:w="2160" w:type="dxa"/>
            <w:vAlign w:val="center"/>
            <w:hideMark/>
          </w:tcPr>
          <w:p w14:paraId="609F311A" w14:textId="3828F955" w:rsidR="004516B4" w:rsidRPr="004516B4" w:rsidRDefault="004516B4" w:rsidP="00F40AF5">
            <w:pPr>
              <w:spacing w:before="0" w:after="0"/>
              <w:ind w:left="102"/>
              <w:jc w:val="center"/>
              <w:rPr>
                <w:color w:val="auto"/>
              </w:rPr>
            </w:pPr>
            <w:r>
              <w:rPr>
                <w:color w:val="auto"/>
              </w:rPr>
              <w:t>xx</w:t>
            </w:r>
            <w:r w:rsidRPr="004516B4">
              <w:rPr>
                <w:color w:val="auto"/>
              </w:rPr>
              <w:t>%</w:t>
            </w:r>
          </w:p>
        </w:tc>
      </w:tr>
      <w:tr w:rsidR="004516B4" w:rsidRPr="004516B4" w14:paraId="2478318E" w14:textId="77777777" w:rsidTr="004516B4">
        <w:tc>
          <w:tcPr>
            <w:tcW w:w="4242" w:type="dxa"/>
            <w:hideMark/>
          </w:tcPr>
          <w:p w14:paraId="609D5396" w14:textId="754485E2" w:rsidR="004516B4" w:rsidRPr="004516B4" w:rsidRDefault="004516B4" w:rsidP="00F40AF5">
            <w:pPr>
              <w:spacing w:before="0" w:after="0"/>
              <w:ind w:left="162"/>
              <w:rPr>
                <w:color w:val="auto"/>
              </w:rPr>
            </w:pPr>
            <w:r w:rsidRPr="004516B4">
              <w:rPr>
                <w:color w:val="auto"/>
              </w:rPr>
              <w:t xml:space="preserve">Assignment #5 </w:t>
            </w:r>
            <w:r w:rsidRPr="004516B4">
              <w:rPr>
                <w:color w:val="auto"/>
              </w:rPr>
              <w:br/>
            </w:r>
            <w:r>
              <w:rPr>
                <w:color w:val="auto"/>
              </w:rPr>
              <w:t>Title and/or Description of Assignment</w:t>
            </w:r>
          </w:p>
        </w:tc>
        <w:tc>
          <w:tcPr>
            <w:tcW w:w="1878" w:type="dxa"/>
            <w:vAlign w:val="center"/>
            <w:hideMark/>
          </w:tcPr>
          <w:p w14:paraId="0E9C823A" w14:textId="77777777" w:rsidR="004516B4" w:rsidRPr="004516B4" w:rsidRDefault="004516B4" w:rsidP="00F40AF5">
            <w:pPr>
              <w:spacing w:before="0" w:after="0"/>
              <w:ind w:left="234"/>
              <w:jc w:val="center"/>
              <w:rPr>
                <w:color w:val="auto"/>
              </w:rPr>
            </w:pPr>
            <w:r w:rsidRPr="004516B4">
              <w:rPr>
                <w:color w:val="auto"/>
              </w:rPr>
              <w:t>SLO #5</w:t>
            </w:r>
          </w:p>
        </w:tc>
        <w:tc>
          <w:tcPr>
            <w:tcW w:w="2160" w:type="dxa"/>
            <w:vAlign w:val="center"/>
            <w:hideMark/>
          </w:tcPr>
          <w:p w14:paraId="253CB1A8" w14:textId="08F0A399" w:rsidR="004516B4" w:rsidRPr="004516B4" w:rsidRDefault="004516B4" w:rsidP="00F40AF5">
            <w:pPr>
              <w:spacing w:before="0" w:after="0"/>
              <w:ind w:left="102"/>
              <w:jc w:val="center"/>
              <w:rPr>
                <w:color w:val="auto"/>
              </w:rPr>
            </w:pPr>
            <w:r>
              <w:rPr>
                <w:color w:val="auto"/>
              </w:rPr>
              <w:t>xx</w:t>
            </w:r>
            <w:r w:rsidRPr="004516B4">
              <w:rPr>
                <w:color w:val="auto"/>
              </w:rPr>
              <w:t>%</w:t>
            </w:r>
          </w:p>
        </w:tc>
      </w:tr>
    </w:tbl>
    <w:bookmarkEnd w:id="2"/>
    <w:p w14:paraId="64B60E04" w14:textId="5C00F297" w:rsidR="00A823FF" w:rsidRPr="0030413B" w:rsidRDefault="00B16311" w:rsidP="0030413B">
      <w:pPr>
        <w:pStyle w:val="Heading3"/>
      </w:pPr>
      <w:r w:rsidRPr="0030413B">
        <w:t>GRADING POLICIES AND PROCEDURES</w:t>
      </w:r>
    </w:p>
    <w:p w14:paraId="052A2F6A" w14:textId="0807849D" w:rsidR="004516B4" w:rsidRDefault="004516B4" w:rsidP="004516B4">
      <w:pPr>
        <w:ind w:left="1080"/>
        <w:rPr>
          <w:iCs/>
          <w:color w:val="auto"/>
        </w:rPr>
      </w:pPr>
      <w:r w:rsidRPr="004516B4">
        <w:rPr>
          <w:color w:val="auto"/>
        </w:rPr>
        <w:t xml:space="preserve">Grading policies, procedures, and the percentage of the course grade associated with each assessment must be explicit on each instructor’s syllabus and must be consistent with </w:t>
      </w:r>
      <w:r w:rsidRPr="004516B4">
        <w:rPr>
          <w:bCs/>
          <w:iCs/>
          <w:color w:val="auto"/>
        </w:rPr>
        <w:t>university policy</w:t>
      </w:r>
      <w:r w:rsidRPr="004516B4">
        <w:rPr>
          <w:color w:val="auto"/>
        </w:rPr>
        <w:t xml:space="preserve"> on </w:t>
      </w:r>
      <w:hyperlink r:id="rId18" w:history="1">
        <w:r w:rsidRPr="00C00A6A">
          <w:rPr>
            <w:rStyle w:val="Hyperlink"/>
          </w:rPr>
          <w:t>Final Course Grades, Grading Procedures, and Final Assessments</w:t>
        </w:r>
      </w:hyperlink>
      <w:r w:rsidRPr="004516B4">
        <w:rPr>
          <w:color w:val="auto"/>
        </w:rPr>
        <w:t>. Instructors must develop scoring guidelines for assessments, which must be made available to students. The final course grade will be based on a descriptive scale such as the following</w:t>
      </w:r>
      <w:r w:rsidRPr="004516B4">
        <w:rPr>
          <w:iCs/>
          <w:color w:val="auto"/>
        </w:rPr>
        <w:t>:</w:t>
      </w:r>
    </w:p>
    <w:tbl>
      <w:tblPr>
        <w:tblStyle w:val="TableGrid"/>
        <w:tblW w:w="8280" w:type="dxa"/>
        <w:tblInd w:w="1075" w:type="dxa"/>
        <w:tblLook w:val="04A0" w:firstRow="1" w:lastRow="0" w:firstColumn="1" w:lastColumn="0" w:noHBand="0" w:noVBand="1"/>
      </w:tblPr>
      <w:tblGrid>
        <w:gridCol w:w="1657"/>
        <w:gridCol w:w="1223"/>
        <w:gridCol w:w="5400"/>
      </w:tblGrid>
      <w:tr w:rsidR="004516B4" w:rsidRPr="004516B4" w14:paraId="07ED04E0" w14:textId="77777777" w:rsidTr="004516B4">
        <w:tc>
          <w:tcPr>
            <w:tcW w:w="1657" w:type="dxa"/>
            <w:vAlign w:val="center"/>
          </w:tcPr>
          <w:p w14:paraId="2E880608" w14:textId="77777777" w:rsidR="004516B4" w:rsidRPr="004516B4" w:rsidRDefault="004516B4" w:rsidP="00F40AF5">
            <w:pPr>
              <w:keepNext/>
              <w:spacing w:before="0" w:after="0"/>
              <w:ind w:left="162"/>
              <w:jc w:val="center"/>
              <w:rPr>
                <w:b/>
                <w:bCs/>
                <w:color w:val="auto"/>
              </w:rPr>
            </w:pPr>
            <w:r w:rsidRPr="004516B4">
              <w:rPr>
                <w:b/>
                <w:bCs/>
                <w:color w:val="auto"/>
              </w:rPr>
              <w:t>Percent</w:t>
            </w:r>
          </w:p>
        </w:tc>
        <w:tc>
          <w:tcPr>
            <w:tcW w:w="1223" w:type="dxa"/>
            <w:vAlign w:val="center"/>
          </w:tcPr>
          <w:p w14:paraId="335C1FFF" w14:textId="77777777" w:rsidR="004516B4" w:rsidRPr="004516B4" w:rsidRDefault="004516B4" w:rsidP="00F40AF5">
            <w:pPr>
              <w:keepNext/>
              <w:spacing w:before="0" w:after="0"/>
              <w:ind w:left="126"/>
              <w:jc w:val="center"/>
              <w:rPr>
                <w:b/>
                <w:bCs/>
                <w:color w:val="auto"/>
              </w:rPr>
            </w:pPr>
            <w:r w:rsidRPr="004516B4">
              <w:rPr>
                <w:b/>
                <w:bCs/>
                <w:color w:val="auto"/>
              </w:rPr>
              <w:t>Grade</w:t>
            </w:r>
          </w:p>
        </w:tc>
        <w:tc>
          <w:tcPr>
            <w:tcW w:w="5400" w:type="dxa"/>
          </w:tcPr>
          <w:p w14:paraId="7044513A" w14:textId="77777777" w:rsidR="004516B4" w:rsidRPr="004516B4" w:rsidRDefault="004516B4" w:rsidP="00F40AF5">
            <w:pPr>
              <w:keepNext/>
              <w:spacing w:before="0" w:after="0"/>
              <w:ind w:left="210"/>
              <w:rPr>
                <w:b/>
                <w:bCs/>
                <w:color w:val="auto"/>
              </w:rPr>
            </w:pPr>
            <w:r w:rsidRPr="004516B4">
              <w:rPr>
                <w:b/>
                <w:bCs/>
                <w:color w:val="auto"/>
              </w:rPr>
              <w:t>Grade Description</w:t>
            </w:r>
          </w:p>
        </w:tc>
      </w:tr>
      <w:tr w:rsidR="004516B4" w:rsidRPr="004516B4" w14:paraId="34DAFDC2" w14:textId="77777777" w:rsidTr="004516B4">
        <w:tc>
          <w:tcPr>
            <w:tcW w:w="1657" w:type="dxa"/>
            <w:vAlign w:val="center"/>
            <w:hideMark/>
          </w:tcPr>
          <w:p w14:paraId="2AE0C0F2" w14:textId="77777777" w:rsidR="004516B4" w:rsidRPr="004516B4" w:rsidRDefault="004516B4" w:rsidP="00F40AF5">
            <w:pPr>
              <w:keepNext/>
              <w:spacing w:before="0" w:after="0"/>
              <w:ind w:left="162"/>
              <w:jc w:val="center"/>
              <w:rPr>
                <w:color w:val="auto"/>
              </w:rPr>
            </w:pPr>
            <w:r w:rsidRPr="004516B4">
              <w:rPr>
                <w:color w:val="auto"/>
              </w:rPr>
              <w:t>90-100%</w:t>
            </w:r>
          </w:p>
        </w:tc>
        <w:tc>
          <w:tcPr>
            <w:tcW w:w="1223" w:type="dxa"/>
            <w:vAlign w:val="center"/>
            <w:hideMark/>
          </w:tcPr>
          <w:p w14:paraId="0B56C6E7" w14:textId="77777777" w:rsidR="004516B4" w:rsidRPr="004516B4" w:rsidRDefault="004516B4" w:rsidP="00F40AF5">
            <w:pPr>
              <w:keepNext/>
              <w:spacing w:before="0" w:after="0"/>
              <w:ind w:left="126"/>
              <w:jc w:val="center"/>
              <w:rPr>
                <w:color w:val="auto"/>
              </w:rPr>
            </w:pPr>
            <w:r w:rsidRPr="004516B4">
              <w:rPr>
                <w:color w:val="auto"/>
              </w:rPr>
              <w:t>A</w:t>
            </w:r>
          </w:p>
        </w:tc>
        <w:tc>
          <w:tcPr>
            <w:tcW w:w="5400" w:type="dxa"/>
            <w:hideMark/>
          </w:tcPr>
          <w:p w14:paraId="1B194E3B" w14:textId="77777777" w:rsidR="004516B4" w:rsidRPr="004516B4" w:rsidRDefault="004516B4" w:rsidP="00F40AF5">
            <w:pPr>
              <w:keepNext/>
              <w:spacing w:before="0" w:after="0"/>
              <w:ind w:left="210"/>
              <w:rPr>
                <w:color w:val="auto"/>
              </w:rPr>
            </w:pPr>
            <w:r w:rsidRPr="004516B4">
              <w:rPr>
                <w:color w:val="auto"/>
              </w:rPr>
              <w:t>Mastery of the relevant course standards.</w:t>
            </w:r>
          </w:p>
        </w:tc>
      </w:tr>
      <w:tr w:rsidR="004516B4" w:rsidRPr="004516B4" w14:paraId="390790FC" w14:textId="77777777" w:rsidTr="004516B4">
        <w:tc>
          <w:tcPr>
            <w:tcW w:w="1657" w:type="dxa"/>
            <w:vAlign w:val="center"/>
            <w:hideMark/>
          </w:tcPr>
          <w:p w14:paraId="5045CA86" w14:textId="77777777" w:rsidR="004516B4" w:rsidRPr="004516B4" w:rsidRDefault="004516B4" w:rsidP="00F40AF5">
            <w:pPr>
              <w:keepNext/>
              <w:spacing w:before="0" w:after="0"/>
              <w:ind w:left="162"/>
              <w:jc w:val="center"/>
              <w:rPr>
                <w:color w:val="auto"/>
              </w:rPr>
            </w:pPr>
            <w:r w:rsidRPr="004516B4">
              <w:rPr>
                <w:color w:val="auto"/>
              </w:rPr>
              <w:t>80-89%</w:t>
            </w:r>
          </w:p>
        </w:tc>
        <w:tc>
          <w:tcPr>
            <w:tcW w:w="1223" w:type="dxa"/>
            <w:vAlign w:val="center"/>
            <w:hideMark/>
          </w:tcPr>
          <w:p w14:paraId="207768B9" w14:textId="77777777" w:rsidR="004516B4" w:rsidRPr="004516B4" w:rsidRDefault="004516B4" w:rsidP="00F40AF5">
            <w:pPr>
              <w:keepNext/>
              <w:spacing w:before="0" w:after="0"/>
              <w:ind w:left="126"/>
              <w:jc w:val="center"/>
              <w:rPr>
                <w:color w:val="auto"/>
              </w:rPr>
            </w:pPr>
            <w:r w:rsidRPr="004516B4">
              <w:rPr>
                <w:color w:val="auto"/>
              </w:rPr>
              <w:t>B</w:t>
            </w:r>
          </w:p>
        </w:tc>
        <w:tc>
          <w:tcPr>
            <w:tcW w:w="5400" w:type="dxa"/>
            <w:hideMark/>
          </w:tcPr>
          <w:p w14:paraId="1FF94638" w14:textId="77777777" w:rsidR="004516B4" w:rsidRPr="004516B4" w:rsidRDefault="004516B4" w:rsidP="00F40AF5">
            <w:pPr>
              <w:keepNext/>
              <w:spacing w:before="0" w:after="0"/>
              <w:ind w:left="210"/>
              <w:rPr>
                <w:color w:val="auto"/>
              </w:rPr>
            </w:pPr>
            <w:r w:rsidRPr="004516B4">
              <w:rPr>
                <w:color w:val="auto"/>
              </w:rPr>
              <w:t>Above average proficiency of the relevant course standards.</w:t>
            </w:r>
          </w:p>
        </w:tc>
      </w:tr>
      <w:tr w:rsidR="004516B4" w:rsidRPr="004516B4" w14:paraId="653326DD" w14:textId="77777777" w:rsidTr="004516B4">
        <w:tc>
          <w:tcPr>
            <w:tcW w:w="1657" w:type="dxa"/>
            <w:vAlign w:val="center"/>
            <w:hideMark/>
          </w:tcPr>
          <w:p w14:paraId="7251E7B0" w14:textId="77777777" w:rsidR="004516B4" w:rsidRPr="004516B4" w:rsidRDefault="004516B4" w:rsidP="00F40AF5">
            <w:pPr>
              <w:keepNext/>
              <w:spacing w:before="0" w:after="0"/>
              <w:ind w:left="162"/>
              <w:jc w:val="center"/>
              <w:rPr>
                <w:color w:val="auto"/>
              </w:rPr>
            </w:pPr>
            <w:r w:rsidRPr="004516B4">
              <w:rPr>
                <w:color w:val="auto"/>
              </w:rPr>
              <w:t>70-79%</w:t>
            </w:r>
          </w:p>
        </w:tc>
        <w:tc>
          <w:tcPr>
            <w:tcW w:w="1223" w:type="dxa"/>
            <w:vAlign w:val="center"/>
            <w:hideMark/>
          </w:tcPr>
          <w:p w14:paraId="4B324A77" w14:textId="77777777" w:rsidR="004516B4" w:rsidRPr="004516B4" w:rsidRDefault="004516B4" w:rsidP="00F40AF5">
            <w:pPr>
              <w:keepNext/>
              <w:spacing w:before="0" w:after="0"/>
              <w:ind w:left="126"/>
              <w:jc w:val="center"/>
              <w:rPr>
                <w:color w:val="auto"/>
              </w:rPr>
            </w:pPr>
            <w:r w:rsidRPr="004516B4">
              <w:rPr>
                <w:color w:val="auto"/>
              </w:rPr>
              <w:t>C</w:t>
            </w:r>
          </w:p>
        </w:tc>
        <w:tc>
          <w:tcPr>
            <w:tcW w:w="5400" w:type="dxa"/>
            <w:hideMark/>
          </w:tcPr>
          <w:p w14:paraId="635F9710" w14:textId="77777777" w:rsidR="004516B4" w:rsidRPr="004516B4" w:rsidRDefault="004516B4" w:rsidP="00F40AF5">
            <w:pPr>
              <w:keepNext/>
              <w:spacing w:before="0" w:after="0"/>
              <w:ind w:left="210"/>
              <w:rPr>
                <w:color w:val="auto"/>
              </w:rPr>
            </w:pPr>
            <w:r w:rsidRPr="004516B4">
              <w:rPr>
                <w:color w:val="auto"/>
              </w:rPr>
              <w:t>Satisfactory proficiency of the relevant course standards.</w:t>
            </w:r>
          </w:p>
        </w:tc>
      </w:tr>
      <w:tr w:rsidR="004516B4" w:rsidRPr="004516B4" w14:paraId="578F632F" w14:textId="77777777" w:rsidTr="004516B4">
        <w:tc>
          <w:tcPr>
            <w:tcW w:w="1657" w:type="dxa"/>
            <w:vAlign w:val="center"/>
            <w:hideMark/>
          </w:tcPr>
          <w:p w14:paraId="7666D542" w14:textId="77777777" w:rsidR="004516B4" w:rsidRPr="004516B4" w:rsidRDefault="004516B4" w:rsidP="00F40AF5">
            <w:pPr>
              <w:keepNext/>
              <w:spacing w:before="0" w:after="0"/>
              <w:ind w:left="162"/>
              <w:jc w:val="center"/>
              <w:rPr>
                <w:color w:val="auto"/>
              </w:rPr>
            </w:pPr>
            <w:r w:rsidRPr="004516B4">
              <w:rPr>
                <w:color w:val="auto"/>
              </w:rPr>
              <w:t>60-69%</w:t>
            </w:r>
          </w:p>
        </w:tc>
        <w:tc>
          <w:tcPr>
            <w:tcW w:w="1223" w:type="dxa"/>
            <w:vAlign w:val="center"/>
            <w:hideMark/>
          </w:tcPr>
          <w:p w14:paraId="6210312C" w14:textId="77777777" w:rsidR="004516B4" w:rsidRPr="004516B4" w:rsidRDefault="004516B4" w:rsidP="00F40AF5">
            <w:pPr>
              <w:keepNext/>
              <w:spacing w:before="0" w:after="0"/>
              <w:ind w:left="126"/>
              <w:jc w:val="center"/>
              <w:rPr>
                <w:color w:val="auto"/>
              </w:rPr>
            </w:pPr>
            <w:r w:rsidRPr="004516B4">
              <w:rPr>
                <w:color w:val="auto"/>
              </w:rPr>
              <w:t>D</w:t>
            </w:r>
          </w:p>
        </w:tc>
        <w:tc>
          <w:tcPr>
            <w:tcW w:w="5400" w:type="dxa"/>
            <w:hideMark/>
          </w:tcPr>
          <w:p w14:paraId="223B49EA" w14:textId="77777777" w:rsidR="004516B4" w:rsidRPr="004516B4" w:rsidRDefault="004516B4" w:rsidP="00F40AF5">
            <w:pPr>
              <w:keepNext/>
              <w:spacing w:before="0" w:after="0"/>
              <w:ind w:left="210"/>
              <w:rPr>
                <w:color w:val="auto"/>
              </w:rPr>
            </w:pPr>
            <w:r w:rsidRPr="004516B4">
              <w:rPr>
                <w:color w:val="auto"/>
              </w:rPr>
              <w:t>Partial proficiency of the relevant course standards.</w:t>
            </w:r>
          </w:p>
        </w:tc>
      </w:tr>
      <w:tr w:rsidR="004516B4" w:rsidRPr="004516B4" w14:paraId="31E0C080" w14:textId="77777777" w:rsidTr="004516B4">
        <w:tc>
          <w:tcPr>
            <w:tcW w:w="1657" w:type="dxa"/>
            <w:vAlign w:val="center"/>
            <w:hideMark/>
          </w:tcPr>
          <w:p w14:paraId="32DCDF5C" w14:textId="77777777" w:rsidR="004516B4" w:rsidRPr="004516B4" w:rsidRDefault="004516B4" w:rsidP="00F40AF5">
            <w:pPr>
              <w:keepNext/>
              <w:spacing w:before="0" w:after="0"/>
              <w:ind w:left="162"/>
              <w:jc w:val="center"/>
              <w:rPr>
                <w:color w:val="auto"/>
              </w:rPr>
            </w:pPr>
            <w:r w:rsidRPr="004516B4">
              <w:rPr>
                <w:color w:val="auto"/>
              </w:rPr>
              <w:t>Below 60%</w:t>
            </w:r>
          </w:p>
        </w:tc>
        <w:tc>
          <w:tcPr>
            <w:tcW w:w="1223" w:type="dxa"/>
            <w:vAlign w:val="center"/>
            <w:hideMark/>
          </w:tcPr>
          <w:p w14:paraId="5E71ABBB" w14:textId="77777777" w:rsidR="004516B4" w:rsidRPr="004516B4" w:rsidRDefault="004516B4" w:rsidP="00F40AF5">
            <w:pPr>
              <w:keepNext/>
              <w:spacing w:before="0" w:after="0"/>
              <w:ind w:left="126"/>
              <w:jc w:val="center"/>
              <w:rPr>
                <w:color w:val="auto"/>
              </w:rPr>
            </w:pPr>
            <w:r w:rsidRPr="004516B4">
              <w:rPr>
                <w:color w:val="auto"/>
              </w:rPr>
              <w:t>F</w:t>
            </w:r>
          </w:p>
        </w:tc>
        <w:tc>
          <w:tcPr>
            <w:tcW w:w="5400" w:type="dxa"/>
            <w:hideMark/>
          </w:tcPr>
          <w:p w14:paraId="49D60092" w14:textId="77777777" w:rsidR="004516B4" w:rsidRPr="004516B4" w:rsidRDefault="004516B4" w:rsidP="00F40AF5">
            <w:pPr>
              <w:keepNext/>
              <w:spacing w:before="0" w:after="0"/>
              <w:ind w:left="210"/>
              <w:rPr>
                <w:color w:val="auto"/>
              </w:rPr>
            </w:pPr>
            <w:r w:rsidRPr="004516B4">
              <w:rPr>
                <w:color w:val="auto"/>
              </w:rPr>
              <w:t>Little or no proficiency of the relevant course standards.</w:t>
            </w:r>
          </w:p>
        </w:tc>
      </w:tr>
    </w:tbl>
    <w:p w14:paraId="74A5F4A2" w14:textId="77777777" w:rsidR="00684120" w:rsidRPr="0030413B" w:rsidRDefault="002826B8" w:rsidP="0030413B">
      <w:pPr>
        <w:pStyle w:val="Heading2"/>
      </w:pPr>
      <w:r w:rsidRPr="0030413B">
        <w:t>Disabilities</w:t>
      </w:r>
    </w:p>
    <w:p w14:paraId="1DA6E13E" w14:textId="519BE117" w:rsidR="00684120" w:rsidRDefault="00684120" w:rsidP="0065471D">
      <w:pPr>
        <w:pStyle w:val="BodyText"/>
      </w:pPr>
      <w:r w:rsidRPr="00F73D6C">
        <w:t xml:space="preserve">The SCO </w:t>
      </w:r>
      <w:r>
        <w:t xml:space="preserve">and syllabi </w:t>
      </w:r>
      <w:r w:rsidRPr="00863F54">
        <w:t xml:space="preserve">should contain a statement regarding </w:t>
      </w:r>
      <w:r w:rsidR="002826B8">
        <w:t>support services for students with disabilities.</w:t>
      </w:r>
      <w:r w:rsidR="00CA7C75">
        <w:t xml:space="preserve"> </w:t>
      </w:r>
      <w:r w:rsidR="00CA7C75" w:rsidRPr="00CA7C75">
        <w:t xml:space="preserve">Under the Office of Civil Rights and the Americans with Disability Act, students may disclose </w:t>
      </w:r>
      <w:r w:rsidR="00CA7C75" w:rsidRPr="004516B4">
        <w:rPr>
          <w:bCs/>
        </w:rPr>
        <w:t>at any time</w:t>
      </w:r>
      <w:r w:rsidR="00CA7C75" w:rsidRPr="00CA7C75">
        <w:t xml:space="preserve"> during the academic semester that they need a classroom accommodation based on a disability. </w:t>
      </w:r>
      <w:r w:rsidR="00CA7C75">
        <w:t>Thus, it is strongly recommended that all SCOs and syllabi use the following language, as it meets both federal and state legal standards.</w:t>
      </w:r>
    </w:p>
    <w:p w14:paraId="61054923" w14:textId="77777777" w:rsidR="004516B4" w:rsidRPr="00DF05F8" w:rsidRDefault="004516B4" w:rsidP="004516B4">
      <w:pPr>
        <w:pStyle w:val="BodyText"/>
      </w:pPr>
      <w:r w:rsidRPr="004516B4">
        <w:rPr>
          <w:color w:val="auto"/>
        </w:rPr>
        <w:t xml:space="preserve">The </w:t>
      </w:r>
      <w:hyperlink r:id="rId19" w:history="1">
        <w:r w:rsidRPr="006928B2">
          <w:rPr>
            <w:rStyle w:val="Hyperlink"/>
          </w:rPr>
          <w:t>Bob Murphy Access Center (BMAC)</w:t>
        </w:r>
      </w:hyperlink>
      <w:r w:rsidRPr="00DF05F8">
        <w:t xml:space="preserve"> </w:t>
      </w:r>
      <w:r w:rsidRPr="004516B4">
        <w:rPr>
          <w:color w:val="auto"/>
        </w:rPr>
        <w:t>provides certification for students with disabilities and helps arrange relevant accommodations. Any student requesting academic accommodations based on a disability is strongly encouraged to register with Disabled Student Services (BMAC) each semester. A letter of verification for approved accommodations can be obtained from BMAC. Please be sure to provide your instructor with BMAC verification of accommodations as early in the semester as possible. The phone number for BMAC is (562) 985 5401. The email address is: </w:t>
      </w:r>
      <w:hyperlink r:id="rId20" w:history="1">
        <w:r w:rsidRPr="00836556">
          <w:rPr>
            <w:rStyle w:val="Hyperlink"/>
          </w:rPr>
          <w:t>bmac@csulb.edu</w:t>
        </w:r>
      </w:hyperlink>
      <w:r w:rsidRPr="00DF05F8">
        <w:t>.</w:t>
      </w:r>
    </w:p>
    <w:p w14:paraId="2AB19C39" w14:textId="77777777" w:rsidR="002D66A1" w:rsidRPr="0030413B" w:rsidRDefault="002D66A1" w:rsidP="0030413B">
      <w:pPr>
        <w:pStyle w:val="Heading2"/>
      </w:pPr>
      <w:r w:rsidRPr="0030413B">
        <w:lastRenderedPageBreak/>
        <w:t>Assistive Technology</w:t>
      </w:r>
    </w:p>
    <w:p w14:paraId="7AC30860" w14:textId="77777777" w:rsidR="002D66A1" w:rsidRDefault="002D66A1" w:rsidP="0065471D">
      <w:pPr>
        <w:pStyle w:val="BodyText"/>
      </w:pPr>
      <w:r>
        <w:t>The SCO should contain a statement regarding the university policy on assistive technology.</w:t>
      </w:r>
    </w:p>
    <w:p w14:paraId="7CF86A49" w14:textId="12B0EF0A" w:rsidR="004516B4" w:rsidRPr="004516B4" w:rsidRDefault="004516B4" w:rsidP="004516B4">
      <w:pPr>
        <w:rPr>
          <w:color w:val="auto"/>
        </w:rPr>
      </w:pPr>
      <w:r w:rsidRPr="004516B4">
        <w:rPr>
          <w:color w:val="auto"/>
        </w:rPr>
        <w:t xml:space="preserve">In compliance with university policy on </w:t>
      </w:r>
      <w:hyperlink r:id="rId21" w:history="1">
        <w:r w:rsidRPr="006928B2">
          <w:rPr>
            <w:rStyle w:val="Hyperlink"/>
          </w:rPr>
          <w:t>Accessibility and Faculty Responsibility for the Selection of Instructional Materials</w:t>
        </w:r>
      </w:hyperlink>
      <w:r w:rsidRPr="004516B4">
        <w:rPr>
          <w:color w:val="auto"/>
        </w:rPr>
        <w:t>, instructors are responsible for ensuring that their syllabi and instructional materials are accessible to all students.</w:t>
      </w:r>
    </w:p>
    <w:p w14:paraId="6CD2A81A" w14:textId="77777777" w:rsidR="000F7510" w:rsidRPr="0030413B" w:rsidRDefault="000F7510" w:rsidP="0030413B">
      <w:pPr>
        <w:pStyle w:val="Heading2"/>
      </w:pPr>
      <w:r w:rsidRPr="0030413B">
        <w:t>Bibliography (Optional)</w:t>
      </w:r>
    </w:p>
    <w:p w14:paraId="6887DBAA" w14:textId="6E77E6C4" w:rsidR="000F7510" w:rsidRPr="00995040" w:rsidRDefault="001F7B29" w:rsidP="0065471D">
      <w:r w:rsidRPr="001F7B29">
        <w:rPr>
          <w:b/>
          <w:bCs/>
        </w:rPr>
        <w:t>This section is optional.</w:t>
      </w:r>
      <w:r>
        <w:t xml:space="preserve"> </w:t>
      </w:r>
      <w:r w:rsidR="000F7510" w:rsidRPr="00995040">
        <w:t>Include a one-page bibliography of references, possibly with a disclaimer, like the following:</w:t>
      </w:r>
    </w:p>
    <w:p w14:paraId="6DDB4C52" w14:textId="77777777" w:rsidR="000F7510" w:rsidRPr="004516B4" w:rsidRDefault="000F7510" w:rsidP="0065471D">
      <w:pPr>
        <w:rPr>
          <w:color w:val="auto"/>
        </w:rPr>
      </w:pPr>
      <w:r w:rsidRPr="004516B4">
        <w:rPr>
          <w:color w:val="auto"/>
        </w:rPr>
        <w:t>This is a highly selective bibliography to provide instructors with a primary set of resource materials. For brevity, important works may be missed from this list. The list is intended to show the range of materials available to our students. Relevant course materials may also be found in periodicals, both in print and electronic form.</w:t>
      </w:r>
    </w:p>
    <w:p w14:paraId="110BC912" w14:textId="77777777" w:rsidR="00B626B0" w:rsidRPr="0030413B" w:rsidRDefault="00B626B0" w:rsidP="0030413B">
      <w:pPr>
        <w:pStyle w:val="Heading2"/>
      </w:pPr>
      <w:r w:rsidRPr="0030413B">
        <w:t xml:space="preserve">Consistency of SCO Standards </w:t>
      </w:r>
      <w:r w:rsidR="00974B62" w:rsidRPr="0030413B">
        <w:t>a</w:t>
      </w:r>
      <w:r w:rsidRPr="0030413B">
        <w:t>cross Sections</w:t>
      </w:r>
    </w:p>
    <w:p w14:paraId="2E9B7D00" w14:textId="77777777" w:rsidR="004516B4" w:rsidRPr="004516B4" w:rsidRDefault="004516B4" w:rsidP="004516B4">
      <w:pPr>
        <w:rPr>
          <w:color w:val="auto"/>
        </w:rPr>
      </w:pPr>
      <w:r w:rsidRPr="004516B4">
        <w:rPr>
          <w:color w:val="auto"/>
        </w:rPr>
        <w:t>All future syllabi will conform to the SCO. The course coordinator should review the SCO and offer advice and/or materials to faculty member new to teaching the course. The course coordinator may offer or require regular review of instructors' course materials as well as anonymous samples of student work.</w:t>
      </w:r>
    </w:p>
    <w:p w14:paraId="4951DD61" w14:textId="790156B0" w:rsidR="0046143C" w:rsidRPr="0030413B" w:rsidRDefault="00B50CEF" w:rsidP="00BD0569">
      <w:pPr>
        <w:pStyle w:val="Heading2"/>
      </w:pPr>
      <w:hyperlink r:id="rId22" w:history="1">
        <w:r w:rsidR="004516B4" w:rsidRPr="0030413B">
          <w:rPr>
            <w:rStyle w:val="Hyperlink"/>
          </w:rPr>
          <w:t>Additional Resources for Development of Syllabi</w:t>
        </w:r>
      </w:hyperlink>
      <w:r w:rsidR="004516B4" w:rsidRPr="0030413B">
        <w:t xml:space="preserve"> </w:t>
      </w:r>
    </w:p>
    <w:sectPr w:rsidR="0046143C" w:rsidRPr="0030413B" w:rsidSect="004516B4">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99D8" w14:textId="77777777" w:rsidR="00B50CEF" w:rsidRDefault="00B50CEF" w:rsidP="0065471D">
      <w:r>
        <w:separator/>
      </w:r>
    </w:p>
  </w:endnote>
  <w:endnote w:type="continuationSeparator" w:id="0">
    <w:p w14:paraId="00191F5D" w14:textId="77777777" w:rsidR="00B50CEF" w:rsidRDefault="00B50CEF" w:rsidP="0065471D">
      <w:r>
        <w:continuationSeparator/>
      </w:r>
    </w:p>
  </w:endnote>
  <w:endnote w:type="continuationNotice" w:id="1">
    <w:p w14:paraId="27113B58" w14:textId="77777777" w:rsidR="00B50CEF" w:rsidRDefault="00B50CEF" w:rsidP="00654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322D" w14:textId="3450E6EC" w:rsidR="00E83B60" w:rsidRPr="0065471D" w:rsidRDefault="0065471D" w:rsidP="0065471D">
    <w:pPr>
      <w:pStyle w:val="Footer"/>
      <w:ind w:left="0"/>
    </w:pPr>
    <w:r w:rsidRPr="0065471D">
      <w:rPr>
        <w:color w:val="auto"/>
      </w:rPr>
      <w:t>College of Business Standard Course Outline</w:t>
    </w:r>
    <w:r w:rsidR="00432BD1" w:rsidRPr="0065471D">
      <w:tab/>
    </w:r>
    <w:r w:rsidR="004516B4">
      <w:tab/>
    </w:r>
    <w:r w:rsidR="004516B4" w:rsidRPr="004516B4">
      <w:rPr>
        <w:color w:val="auto"/>
      </w:rPr>
      <w:fldChar w:fldCharType="begin"/>
    </w:r>
    <w:r w:rsidR="004516B4" w:rsidRPr="004516B4">
      <w:rPr>
        <w:color w:val="auto"/>
      </w:rPr>
      <w:instrText xml:space="preserve"> PAGE   \* MERGEFORMAT </w:instrText>
    </w:r>
    <w:r w:rsidR="004516B4" w:rsidRPr="004516B4">
      <w:rPr>
        <w:color w:val="auto"/>
      </w:rPr>
      <w:fldChar w:fldCharType="separate"/>
    </w:r>
    <w:r w:rsidR="004516B4" w:rsidRPr="004516B4">
      <w:rPr>
        <w:noProof/>
        <w:color w:val="auto"/>
      </w:rPr>
      <w:t>1</w:t>
    </w:r>
    <w:r w:rsidR="004516B4" w:rsidRPr="004516B4">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94EF" w14:textId="77777777" w:rsidR="00B50CEF" w:rsidRDefault="00B50CEF" w:rsidP="0065471D">
      <w:r>
        <w:separator/>
      </w:r>
    </w:p>
  </w:footnote>
  <w:footnote w:type="continuationSeparator" w:id="0">
    <w:p w14:paraId="2244FE20" w14:textId="77777777" w:rsidR="00B50CEF" w:rsidRDefault="00B50CEF" w:rsidP="0065471D">
      <w:r>
        <w:continuationSeparator/>
      </w:r>
    </w:p>
  </w:footnote>
  <w:footnote w:type="continuationNotice" w:id="1">
    <w:p w14:paraId="66C5BC46" w14:textId="77777777" w:rsidR="00B50CEF" w:rsidRDefault="00B50CEF" w:rsidP="00654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4608" w14:textId="332EE984" w:rsidR="00432BD1" w:rsidRDefault="005D3CAC" w:rsidP="0065471D">
    <w:pPr>
      <w:pStyle w:val="Header"/>
      <w:ind w:left="0"/>
    </w:pPr>
    <w:r>
      <w:rPr>
        <w:noProof/>
      </w:rPr>
      <w:drawing>
        <wp:inline distT="0" distB="0" distL="0" distR="0" wp14:anchorId="29C1345D" wp14:editId="362BC5B7">
          <wp:extent cx="1719322" cy="457200"/>
          <wp:effectExtent l="0" t="0" r="0" b="0"/>
          <wp:docPr id="2" name="Picture 2" descr="California State University, Long Beach&#10;College of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State University, Long Beach&#10;College of Business logo"/>
                  <pic:cNvPicPr/>
                </pic:nvPicPr>
                <pic:blipFill>
                  <a:blip r:embed="rId1">
                    <a:extLst>
                      <a:ext uri="{28A0092B-C50C-407E-A947-70E740481C1C}">
                        <a14:useLocalDpi xmlns:a14="http://schemas.microsoft.com/office/drawing/2010/main" val="0"/>
                      </a:ext>
                    </a:extLst>
                  </a:blip>
                  <a:stretch>
                    <a:fillRect/>
                  </a:stretch>
                </pic:blipFill>
                <pic:spPr>
                  <a:xfrm>
                    <a:off x="0" y="0"/>
                    <a:ext cx="171932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FB6"/>
    <w:multiLevelType w:val="multilevel"/>
    <w:tmpl w:val="AABC8F04"/>
    <w:lvl w:ilvl="0">
      <w:start w:val="1"/>
      <w:numFmt w:val="bullet"/>
      <w:lvlText w:val=""/>
      <w:lvlJc w:val="left"/>
      <w:pPr>
        <w:tabs>
          <w:tab w:val="num" w:pos="720"/>
        </w:tabs>
        <w:ind w:left="720" w:hanging="360"/>
      </w:pPr>
      <w:rPr>
        <w:rFonts w:ascii="Symbol" w:hAnsi="Symbol" w:hint="default"/>
        <w:sz w:val="20"/>
      </w:rPr>
    </w:lvl>
    <w:lvl w:ilvl="1">
      <w:numFmt w:val="bullet"/>
      <w:pStyle w:val="ListParagraph"/>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95A9C"/>
    <w:multiLevelType w:val="hybridMultilevel"/>
    <w:tmpl w:val="BDFE47D4"/>
    <w:lvl w:ilvl="0" w:tplc="E458A8D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051836"/>
    <w:multiLevelType w:val="hybridMultilevel"/>
    <w:tmpl w:val="66C05CF4"/>
    <w:lvl w:ilvl="0" w:tplc="68B8BFD8">
      <w:start w:val="1"/>
      <w:numFmt w:val="upperLetter"/>
      <w:lvlText w:val="%1."/>
      <w:lvlJc w:val="left"/>
      <w:pPr>
        <w:tabs>
          <w:tab w:val="num" w:pos="1130"/>
        </w:tabs>
        <w:ind w:left="1130" w:hanging="360"/>
      </w:pPr>
      <w:rPr>
        <w:rFonts w:hint="default"/>
        <w:b/>
        <w:sz w:val="24"/>
        <w:szCs w:val="24"/>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3" w15:restartNumberingAfterBreak="0">
    <w:nsid w:val="195A3515"/>
    <w:multiLevelType w:val="multilevel"/>
    <w:tmpl w:val="34FAA2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87918"/>
    <w:multiLevelType w:val="hybridMultilevel"/>
    <w:tmpl w:val="C6CE6148"/>
    <w:lvl w:ilvl="0" w:tplc="FBFEC128">
      <w:start w:val="1"/>
      <w:numFmt w:val="upperRoman"/>
      <w:lvlText w:val="%1."/>
      <w:lvlJc w:val="left"/>
      <w:pPr>
        <w:tabs>
          <w:tab w:val="num" w:pos="360"/>
        </w:tabs>
        <w:ind w:left="360" w:hanging="360"/>
      </w:pPr>
      <w:rPr>
        <w:rFonts w:hint="default"/>
      </w:rPr>
    </w:lvl>
    <w:lvl w:ilvl="1" w:tplc="DD1615E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955ABE"/>
    <w:multiLevelType w:val="multilevel"/>
    <w:tmpl w:val="0342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430DA"/>
    <w:multiLevelType w:val="multilevel"/>
    <w:tmpl w:val="34FAA2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72B53"/>
    <w:multiLevelType w:val="hybridMultilevel"/>
    <w:tmpl w:val="B74C882A"/>
    <w:lvl w:ilvl="0" w:tplc="FBFEC128">
      <w:start w:val="1"/>
      <w:numFmt w:val="upperRoman"/>
      <w:lvlText w:val="%1."/>
      <w:lvlJc w:val="left"/>
      <w:pPr>
        <w:tabs>
          <w:tab w:val="num" w:pos="360"/>
        </w:tabs>
        <w:ind w:left="360" w:hanging="360"/>
      </w:pPr>
      <w:rPr>
        <w:rFonts w:hint="default"/>
      </w:rPr>
    </w:lvl>
    <w:lvl w:ilvl="1" w:tplc="DD1615E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A56C4F"/>
    <w:multiLevelType w:val="hybridMultilevel"/>
    <w:tmpl w:val="4754F77A"/>
    <w:lvl w:ilvl="0" w:tplc="846EEF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0C2094"/>
    <w:multiLevelType w:val="hybridMultilevel"/>
    <w:tmpl w:val="97F8B1C8"/>
    <w:lvl w:ilvl="0" w:tplc="DD1615EA">
      <w:start w:val="1"/>
      <w:numFmt w:val="bullet"/>
      <w:lvlText w:val=""/>
      <w:lvlJc w:val="left"/>
      <w:pPr>
        <w:tabs>
          <w:tab w:val="num" w:pos="1080"/>
        </w:tabs>
        <w:ind w:left="1080" w:hanging="360"/>
      </w:pPr>
      <w:rPr>
        <w:rFonts w:ascii="Wingdings" w:hAnsi="Wingdings" w:hint="default"/>
      </w:rPr>
    </w:lvl>
    <w:lvl w:ilvl="1" w:tplc="FBFEC128">
      <w:start w:val="1"/>
      <w:numFmt w:val="upp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D5324"/>
    <w:multiLevelType w:val="multilevel"/>
    <w:tmpl w:val="AE02FE9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C17B1"/>
    <w:multiLevelType w:val="hybridMultilevel"/>
    <w:tmpl w:val="E7A418BA"/>
    <w:lvl w:ilvl="0" w:tplc="6CD21E26">
      <w:start w:val="1"/>
      <w:numFmt w:val="upperRoman"/>
      <w:lvlText w:val="%1."/>
      <w:lvlJc w:val="left"/>
      <w:pPr>
        <w:tabs>
          <w:tab w:val="num" w:pos="360"/>
        </w:tabs>
        <w:ind w:left="360" w:hanging="360"/>
      </w:pPr>
      <w:rPr>
        <w:rFonts w:hint="default"/>
      </w:rPr>
    </w:lvl>
    <w:lvl w:ilvl="1" w:tplc="00A2C95A">
      <w:start w:val="1"/>
      <w:numFmt w:val="upperLetter"/>
      <w:lvlText w:val="%2."/>
      <w:lvlJc w:val="left"/>
      <w:pPr>
        <w:tabs>
          <w:tab w:val="num" w:pos="1080"/>
        </w:tabs>
        <w:ind w:left="1080" w:hanging="360"/>
      </w:pPr>
      <w:rPr>
        <w:rFont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A202BF"/>
    <w:multiLevelType w:val="multilevel"/>
    <w:tmpl w:val="00AC1B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20913"/>
    <w:multiLevelType w:val="hybridMultilevel"/>
    <w:tmpl w:val="2EDC3C5E"/>
    <w:lvl w:ilvl="0" w:tplc="574E9F4E">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55A47"/>
    <w:multiLevelType w:val="multilevel"/>
    <w:tmpl w:val="5DCE30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37AA7"/>
    <w:multiLevelType w:val="hybridMultilevel"/>
    <w:tmpl w:val="D0CE27EE"/>
    <w:lvl w:ilvl="0" w:tplc="D3FC13F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00158"/>
    <w:multiLevelType w:val="hybridMultilevel"/>
    <w:tmpl w:val="DAF2252E"/>
    <w:lvl w:ilvl="0" w:tplc="AA86567E">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F6F22"/>
    <w:multiLevelType w:val="multilevel"/>
    <w:tmpl w:val="7BB8B4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138A0"/>
    <w:multiLevelType w:val="hybridMultilevel"/>
    <w:tmpl w:val="80EEC3DE"/>
    <w:lvl w:ilvl="0" w:tplc="CBF284C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46BCB"/>
    <w:multiLevelType w:val="hybridMultilevel"/>
    <w:tmpl w:val="E0C8FAA2"/>
    <w:lvl w:ilvl="0" w:tplc="68B8BFD8">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2A274C"/>
    <w:multiLevelType w:val="hybridMultilevel"/>
    <w:tmpl w:val="6DEC9504"/>
    <w:lvl w:ilvl="0" w:tplc="3E2EFE54">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B84071"/>
    <w:multiLevelType w:val="hybridMultilevel"/>
    <w:tmpl w:val="4A24C5FE"/>
    <w:lvl w:ilvl="0" w:tplc="51F81FF2">
      <w:start w:val="1"/>
      <w:numFmt w:val="upperLetter"/>
      <w:lvlText w:val="%1."/>
      <w:lvlJc w:val="left"/>
      <w:pPr>
        <w:ind w:left="1080" w:hanging="360"/>
      </w:pPr>
      <w:rPr>
        <w:rFonts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321778"/>
    <w:multiLevelType w:val="hybridMultilevel"/>
    <w:tmpl w:val="1B1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571488"/>
    <w:multiLevelType w:val="multilevel"/>
    <w:tmpl w:val="AF96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850DA"/>
    <w:multiLevelType w:val="multilevel"/>
    <w:tmpl w:val="DEE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F08F8"/>
    <w:multiLevelType w:val="hybridMultilevel"/>
    <w:tmpl w:val="2AB83026"/>
    <w:lvl w:ilvl="0" w:tplc="6CD21E26">
      <w:start w:val="1"/>
      <w:numFmt w:val="upperRoman"/>
      <w:lvlText w:val="%1."/>
      <w:lvlJc w:val="left"/>
      <w:pPr>
        <w:tabs>
          <w:tab w:val="num" w:pos="360"/>
        </w:tabs>
        <w:ind w:left="360" w:hanging="360"/>
      </w:pPr>
      <w:rPr>
        <w:rFonts w:hint="default"/>
      </w:rPr>
    </w:lvl>
    <w:lvl w:ilvl="1" w:tplc="6D3022A2">
      <w:start w:val="1"/>
      <w:numFmt w:val="decimal"/>
      <w:lvlText w:val="%2)"/>
      <w:lvlJc w:val="left"/>
      <w:pPr>
        <w:tabs>
          <w:tab w:val="num" w:pos="1080"/>
        </w:tabs>
        <w:ind w:left="1080" w:hanging="360"/>
      </w:pPr>
      <w:rPr>
        <w:rFonts w:hint="default"/>
        <w:b/>
        <w:color w:val="auto"/>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1"/>
  </w:num>
  <w:num w:numId="4">
    <w:abstractNumId w:val="4"/>
  </w:num>
  <w:num w:numId="5">
    <w:abstractNumId w:val="7"/>
  </w:num>
  <w:num w:numId="6">
    <w:abstractNumId w:val="1"/>
  </w:num>
  <w:num w:numId="7">
    <w:abstractNumId w:val="21"/>
  </w:num>
  <w:num w:numId="8">
    <w:abstractNumId w:val="19"/>
  </w:num>
  <w:num w:numId="9">
    <w:abstractNumId w:val="23"/>
  </w:num>
  <w:num w:numId="10">
    <w:abstractNumId w:val="5"/>
  </w:num>
  <w:num w:numId="11">
    <w:abstractNumId w:val="24"/>
  </w:num>
  <w:num w:numId="12">
    <w:abstractNumId w:val="10"/>
  </w:num>
  <w:num w:numId="13">
    <w:abstractNumId w:val="18"/>
  </w:num>
  <w:num w:numId="14">
    <w:abstractNumId w:val="15"/>
  </w:num>
  <w:num w:numId="15">
    <w:abstractNumId w:val="15"/>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8"/>
  </w:num>
  <w:num w:numId="21">
    <w:abstractNumId w:val="22"/>
  </w:num>
  <w:num w:numId="22">
    <w:abstractNumId w:val="14"/>
  </w:num>
  <w:num w:numId="23">
    <w:abstractNumId w:val="15"/>
    <w:lvlOverride w:ilvl="0">
      <w:startOverride w:val="1"/>
    </w:lvlOverride>
  </w:num>
  <w:num w:numId="24">
    <w:abstractNumId w:val="17"/>
  </w:num>
  <w:num w:numId="25">
    <w:abstractNumId w:val="3"/>
  </w:num>
  <w:num w:numId="26">
    <w:abstractNumId w:val="15"/>
    <w:lvlOverride w:ilvl="0">
      <w:startOverride w:val="1"/>
    </w:lvlOverride>
  </w:num>
  <w:num w:numId="27">
    <w:abstractNumId w:val="15"/>
    <w:lvlOverride w:ilvl="0">
      <w:startOverride w:val="1"/>
    </w:lvlOverride>
  </w:num>
  <w:num w:numId="28">
    <w:abstractNumId w:val="25"/>
  </w:num>
  <w:num w:numId="29">
    <w:abstractNumId w:val="15"/>
    <w:lvlOverride w:ilvl="0">
      <w:startOverride w:val="1"/>
    </w:lvlOverride>
  </w:num>
  <w:num w:numId="30">
    <w:abstractNumId w:val="6"/>
  </w:num>
  <w:num w:numId="31">
    <w:abstractNumId w:val="0"/>
  </w:num>
  <w:num w:numId="32">
    <w:abstractNumId w:val="15"/>
    <w:lvlOverride w:ilvl="0">
      <w:startOverride w:val="1"/>
    </w:lvlOverride>
  </w:num>
  <w:num w:numId="33">
    <w:abstractNumId w:val="15"/>
    <w:lvlOverride w:ilvl="0">
      <w:startOverride w:val="1"/>
    </w:lvlOverride>
  </w:num>
  <w:num w:numId="34">
    <w:abstractNumId w:val="12"/>
  </w:num>
  <w:num w:numId="35">
    <w:abstractNumId w:val="16"/>
  </w:num>
  <w:num w:numId="36">
    <w:abstractNumId w:val="20"/>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NjK1MDQ1trAwNTVW0lEKTi0uzszPAykwrAUAHxrKHywAAAA="/>
  </w:docVars>
  <w:rsids>
    <w:rsidRoot w:val="000F7510"/>
    <w:rsid w:val="00001811"/>
    <w:rsid w:val="000045D8"/>
    <w:rsid w:val="00007CB0"/>
    <w:rsid w:val="00012E1E"/>
    <w:rsid w:val="000217B2"/>
    <w:rsid w:val="0002230F"/>
    <w:rsid w:val="00022A9D"/>
    <w:rsid w:val="0002415D"/>
    <w:rsid w:val="00042B65"/>
    <w:rsid w:val="0004472C"/>
    <w:rsid w:val="000554F2"/>
    <w:rsid w:val="00056D26"/>
    <w:rsid w:val="00062196"/>
    <w:rsid w:val="00074515"/>
    <w:rsid w:val="0008620F"/>
    <w:rsid w:val="0008702B"/>
    <w:rsid w:val="000955A2"/>
    <w:rsid w:val="00096E05"/>
    <w:rsid w:val="000B11A4"/>
    <w:rsid w:val="000C1352"/>
    <w:rsid w:val="000C30BE"/>
    <w:rsid w:val="000D29BA"/>
    <w:rsid w:val="000E21BA"/>
    <w:rsid w:val="000E2703"/>
    <w:rsid w:val="000E52F3"/>
    <w:rsid w:val="000E724E"/>
    <w:rsid w:val="000F2C2A"/>
    <w:rsid w:val="000F4844"/>
    <w:rsid w:val="000F55A9"/>
    <w:rsid w:val="000F7510"/>
    <w:rsid w:val="00101966"/>
    <w:rsid w:val="00121BEA"/>
    <w:rsid w:val="001239B8"/>
    <w:rsid w:val="001255CD"/>
    <w:rsid w:val="00126C0C"/>
    <w:rsid w:val="00127273"/>
    <w:rsid w:val="00136D25"/>
    <w:rsid w:val="00137F4C"/>
    <w:rsid w:val="00152163"/>
    <w:rsid w:val="0015647E"/>
    <w:rsid w:val="0015666C"/>
    <w:rsid w:val="00156D12"/>
    <w:rsid w:val="00157FEE"/>
    <w:rsid w:val="001612E5"/>
    <w:rsid w:val="001628BF"/>
    <w:rsid w:val="00165881"/>
    <w:rsid w:val="00184596"/>
    <w:rsid w:val="001931CA"/>
    <w:rsid w:val="00196844"/>
    <w:rsid w:val="001A559D"/>
    <w:rsid w:val="001A777F"/>
    <w:rsid w:val="001B6530"/>
    <w:rsid w:val="001B779C"/>
    <w:rsid w:val="001C24FE"/>
    <w:rsid w:val="001C48B3"/>
    <w:rsid w:val="001C4D4F"/>
    <w:rsid w:val="001D0F7D"/>
    <w:rsid w:val="001D1DF3"/>
    <w:rsid w:val="001D5346"/>
    <w:rsid w:val="001D6FE5"/>
    <w:rsid w:val="001E0C28"/>
    <w:rsid w:val="001E2778"/>
    <w:rsid w:val="001E2C37"/>
    <w:rsid w:val="001E338C"/>
    <w:rsid w:val="001F4140"/>
    <w:rsid w:val="001F7B29"/>
    <w:rsid w:val="001F7F64"/>
    <w:rsid w:val="00202377"/>
    <w:rsid w:val="002059AF"/>
    <w:rsid w:val="00205EB0"/>
    <w:rsid w:val="00212D11"/>
    <w:rsid w:val="00217239"/>
    <w:rsid w:val="0023285A"/>
    <w:rsid w:val="00236D9F"/>
    <w:rsid w:val="00237DAD"/>
    <w:rsid w:val="002400DB"/>
    <w:rsid w:val="00246B25"/>
    <w:rsid w:val="002574C3"/>
    <w:rsid w:val="00260E33"/>
    <w:rsid w:val="002658E2"/>
    <w:rsid w:val="00272E28"/>
    <w:rsid w:val="002776EE"/>
    <w:rsid w:val="00280988"/>
    <w:rsid w:val="002826B8"/>
    <w:rsid w:val="00294FEC"/>
    <w:rsid w:val="002B0F79"/>
    <w:rsid w:val="002B56E5"/>
    <w:rsid w:val="002B5E2E"/>
    <w:rsid w:val="002B7E3D"/>
    <w:rsid w:val="002C2EBE"/>
    <w:rsid w:val="002C2FCA"/>
    <w:rsid w:val="002C68FC"/>
    <w:rsid w:val="002D274F"/>
    <w:rsid w:val="002D5E28"/>
    <w:rsid w:val="002D66A1"/>
    <w:rsid w:val="002E092A"/>
    <w:rsid w:val="002F02AC"/>
    <w:rsid w:val="0030413B"/>
    <w:rsid w:val="003043C8"/>
    <w:rsid w:val="00316C52"/>
    <w:rsid w:val="00323B35"/>
    <w:rsid w:val="003260DF"/>
    <w:rsid w:val="00327480"/>
    <w:rsid w:val="0033178B"/>
    <w:rsid w:val="00333134"/>
    <w:rsid w:val="00341304"/>
    <w:rsid w:val="00347336"/>
    <w:rsid w:val="0034768F"/>
    <w:rsid w:val="00352E30"/>
    <w:rsid w:val="00362120"/>
    <w:rsid w:val="00362BF1"/>
    <w:rsid w:val="003711B8"/>
    <w:rsid w:val="00376BC8"/>
    <w:rsid w:val="00382F00"/>
    <w:rsid w:val="00383435"/>
    <w:rsid w:val="003836DE"/>
    <w:rsid w:val="00385A46"/>
    <w:rsid w:val="00386B7F"/>
    <w:rsid w:val="00386C79"/>
    <w:rsid w:val="0039375A"/>
    <w:rsid w:val="003A2E7E"/>
    <w:rsid w:val="003A2EC1"/>
    <w:rsid w:val="003A7AB1"/>
    <w:rsid w:val="003B711F"/>
    <w:rsid w:val="003C21BE"/>
    <w:rsid w:val="003C4C90"/>
    <w:rsid w:val="003D2D88"/>
    <w:rsid w:val="003D35C5"/>
    <w:rsid w:val="003D516A"/>
    <w:rsid w:val="003D741B"/>
    <w:rsid w:val="003E0C04"/>
    <w:rsid w:val="003F2534"/>
    <w:rsid w:val="003F48B6"/>
    <w:rsid w:val="003F6B18"/>
    <w:rsid w:val="0040253E"/>
    <w:rsid w:val="004035A1"/>
    <w:rsid w:val="00404D29"/>
    <w:rsid w:val="00414550"/>
    <w:rsid w:val="00415477"/>
    <w:rsid w:val="004251A3"/>
    <w:rsid w:val="00425AB5"/>
    <w:rsid w:val="00432BD1"/>
    <w:rsid w:val="00434368"/>
    <w:rsid w:val="00437B02"/>
    <w:rsid w:val="004406B6"/>
    <w:rsid w:val="00442163"/>
    <w:rsid w:val="00447265"/>
    <w:rsid w:val="0044739D"/>
    <w:rsid w:val="00450CE4"/>
    <w:rsid w:val="004516B4"/>
    <w:rsid w:val="00451C67"/>
    <w:rsid w:val="004558D8"/>
    <w:rsid w:val="0046143C"/>
    <w:rsid w:val="00461440"/>
    <w:rsid w:val="00476BB5"/>
    <w:rsid w:val="00481D36"/>
    <w:rsid w:val="00483E53"/>
    <w:rsid w:val="00485C55"/>
    <w:rsid w:val="004909F0"/>
    <w:rsid w:val="004918DF"/>
    <w:rsid w:val="00492946"/>
    <w:rsid w:val="004A0C09"/>
    <w:rsid w:val="004A3264"/>
    <w:rsid w:val="004A3CD5"/>
    <w:rsid w:val="004A5FF7"/>
    <w:rsid w:val="004A6C99"/>
    <w:rsid w:val="004A7B40"/>
    <w:rsid w:val="004B6AA6"/>
    <w:rsid w:val="004C54AE"/>
    <w:rsid w:val="004C7F13"/>
    <w:rsid w:val="004D288A"/>
    <w:rsid w:val="004D4050"/>
    <w:rsid w:val="004E1EC0"/>
    <w:rsid w:val="004F15C8"/>
    <w:rsid w:val="004F7050"/>
    <w:rsid w:val="00503A6D"/>
    <w:rsid w:val="005069F1"/>
    <w:rsid w:val="005134A9"/>
    <w:rsid w:val="00520118"/>
    <w:rsid w:val="00540C92"/>
    <w:rsid w:val="00544071"/>
    <w:rsid w:val="00547FBD"/>
    <w:rsid w:val="00552472"/>
    <w:rsid w:val="00553232"/>
    <w:rsid w:val="00571BCF"/>
    <w:rsid w:val="00572DD1"/>
    <w:rsid w:val="005748E7"/>
    <w:rsid w:val="00584F61"/>
    <w:rsid w:val="005936AD"/>
    <w:rsid w:val="005A1431"/>
    <w:rsid w:val="005A48A2"/>
    <w:rsid w:val="005B0C37"/>
    <w:rsid w:val="005C1F30"/>
    <w:rsid w:val="005C5C52"/>
    <w:rsid w:val="005D22FE"/>
    <w:rsid w:val="005D3CAC"/>
    <w:rsid w:val="005E4F57"/>
    <w:rsid w:val="005E7AF0"/>
    <w:rsid w:val="005F0EA3"/>
    <w:rsid w:val="005F2590"/>
    <w:rsid w:val="00600BED"/>
    <w:rsid w:val="006165FA"/>
    <w:rsid w:val="006216D3"/>
    <w:rsid w:val="00626610"/>
    <w:rsid w:val="0062739F"/>
    <w:rsid w:val="00634646"/>
    <w:rsid w:val="006414E9"/>
    <w:rsid w:val="00646186"/>
    <w:rsid w:val="0065471D"/>
    <w:rsid w:val="006551CD"/>
    <w:rsid w:val="006553F3"/>
    <w:rsid w:val="00655F3E"/>
    <w:rsid w:val="00663CFD"/>
    <w:rsid w:val="00674C5D"/>
    <w:rsid w:val="00674E9D"/>
    <w:rsid w:val="00681A37"/>
    <w:rsid w:val="00682CDB"/>
    <w:rsid w:val="00684120"/>
    <w:rsid w:val="006929E1"/>
    <w:rsid w:val="006A010F"/>
    <w:rsid w:val="006B3933"/>
    <w:rsid w:val="006B6088"/>
    <w:rsid w:val="006B7BEE"/>
    <w:rsid w:val="006C0298"/>
    <w:rsid w:val="006C2899"/>
    <w:rsid w:val="006C6183"/>
    <w:rsid w:val="006D4C2C"/>
    <w:rsid w:val="006E1ED7"/>
    <w:rsid w:val="006E4319"/>
    <w:rsid w:val="006E7FE4"/>
    <w:rsid w:val="006F2945"/>
    <w:rsid w:val="006F400F"/>
    <w:rsid w:val="00702ACD"/>
    <w:rsid w:val="007056A5"/>
    <w:rsid w:val="00707525"/>
    <w:rsid w:val="00715721"/>
    <w:rsid w:val="00716D8B"/>
    <w:rsid w:val="00721F1D"/>
    <w:rsid w:val="00724691"/>
    <w:rsid w:val="007314FF"/>
    <w:rsid w:val="00733257"/>
    <w:rsid w:val="00737EE4"/>
    <w:rsid w:val="00744C05"/>
    <w:rsid w:val="00751680"/>
    <w:rsid w:val="00752059"/>
    <w:rsid w:val="00754C0C"/>
    <w:rsid w:val="007550D8"/>
    <w:rsid w:val="007575A3"/>
    <w:rsid w:val="00757A1C"/>
    <w:rsid w:val="00761CF8"/>
    <w:rsid w:val="00767276"/>
    <w:rsid w:val="0076771B"/>
    <w:rsid w:val="00787C80"/>
    <w:rsid w:val="007A4D30"/>
    <w:rsid w:val="007B1933"/>
    <w:rsid w:val="007B303A"/>
    <w:rsid w:val="007C2CF7"/>
    <w:rsid w:val="007C7BE2"/>
    <w:rsid w:val="007D213C"/>
    <w:rsid w:val="007D30F0"/>
    <w:rsid w:val="007E76C0"/>
    <w:rsid w:val="007F342D"/>
    <w:rsid w:val="007F519A"/>
    <w:rsid w:val="00805B72"/>
    <w:rsid w:val="00814002"/>
    <w:rsid w:val="0081527B"/>
    <w:rsid w:val="008177EF"/>
    <w:rsid w:val="00822427"/>
    <w:rsid w:val="008257EF"/>
    <w:rsid w:val="00825B7C"/>
    <w:rsid w:val="008261FF"/>
    <w:rsid w:val="008265CC"/>
    <w:rsid w:val="0083114E"/>
    <w:rsid w:val="00835F65"/>
    <w:rsid w:val="00840B99"/>
    <w:rsid w:val="00852A96"/>
    <w:rsid w:val="00861DF1"/>
    <w:rsid w:val="00863F54"/>
    <w:rsid w:val="008707E4"/>
    <w:rsid w:val="00870DF9"/>
    <w:rsid w:val="00875029"/>
    <w:rsid w:val="00877D66"/>
    <w:rsid w:val="00885FF8"/>
    <w:rsid w:val="008A19EF"/>
    <w:rsid w:val="008B2E7B"/>
    <w:rsid w:val="008C0098"/>
    <w:rsid w:val="008C5774"/>
    <w:rsid w:val="008E117A"/>
    <w:rsid w:val="008F050E"/>
    <w:rsid w:val="008F5B03"/>
    <w:rsid w:val="008F6EED"/>
    <w:rsid w:val="009003BE"/>
    <w:rsid w:val="00901064"/>
    <w:rsid w:val="00903E58"/>
    <w:rsid w:val="00904453"/>
    <w:rsid w:val="00926DE8"/>
    <w:rsid w:val="00931C74"/>
    <w:rsid w:val="00931F07"/>
    <w:rsid w:val="0093495F"/>
    <w:rsid w:val="009365BB"/>
    <w:rsid w:val="009368B7"/>
    <w:rsid w:val="0094234E"/>
    <w:rsid w:val="0094359C"/>
    <w:rsid w:val="00943773"/>
    <w:rsid w:val="00946A1F"/>
    <w:rsid w:val="009478C5"/>
    <w:rsid w:val="009539AE"/>
    <w:rsid w:val="0095485E"/>
    <w:rsid w:val="00956BC0"/>
    <w:rsid w:val="00956CD2"/>
    <w:rsid w:val="00967B86"/>
    <w:rsid w:val="00973100"/>
    <w:rsid w:val="0097429D"/>
    <w:rsid w:val="00974B62"/>
    <w:rsid w:val="009750BA"/>
    <w:rsid w:val="00976D66"/>
    <w:rsid w:val="00985C39"/>
    <w:rsid w:val="00994C25"/>
    <w:rsid w:val="00995040"/>
    <w:rsid w:val="00996F4D"/>
    <w:rsid w:val="0099736D"/>
    <w:rsid w:val="009B20FF"/>
    <w:rsid w:val="009B335E"/>
    <w:rsid w:val="009B3555"/>
    <w:rsid w:val="009B449A"/>
    <w:rsid w:val="009B4E5F"/>
    <w:rsid w:val="009B59BF"/>
    <w:rsid w:val="009C5F75"/>
    <w:rsid w:val="009C7375"/>
    <w:rsid w:val="009D1479"/>
    <w:rsid w:val="009D72D1"/>
    <w:rsid w:val="009E3E1E"/>
    <w:rsid w:val="009E3F8F"/>
    <w:rsid w:val="009E4B88"/>
    <w:rsid w:val="009E5670"/>
    <w:rsid w:val="009E7BC1"/>
    <w:rsid w:val="009F0273"/>
    <w:rsid w:val="009F1B16"/>
    <w:rsid w:val="009F5F3F"/>
    <w:rsid w:val="009F79C4"/>
    <w:rsid w:val="009F7F5B"/>
    <w:rsid w:val="00A11BC4"/>
    <w:rsid w:val="00A14C27"/>
    <w:rsid w:val="00A157DA"/>
    <w:rsid w:val="00A15E69"/>
    <w:rsid w:val="00A20596"/>
    <w:rsid w:val="00A21148"/>
    <w:rsid w:val="00A32690"/>
    <w:rsid w:val="00A32F2E"/>
    <w:rsid w:val="00A33521"/>
    <w:rsid w:val="00A34AE5"/>
    <w:rsid w:val="00A35C3E"/>
    <w:rsid w:val="00A3710B"/>
    <w:rsid w:val="00A47AB9"/>
    <w:rsid w:val="00A5190E"/>
    <w:rsid w:val="00A574C0"/>
    <w:rsid w:val="00A64BFA"/>
    <w:rsid w:val="00A6587A"/>
    <w:rsid w:val="00A7128A"/>
    <w:rsid w:val="00A823FF"/>
    <w:rsid w:val="00A85DC8"/>
    <w:rsid w:val="00AA3B36"/>
    <w:rsid w:val="00AB34E7"/>
    <w:rsid w:val="00AB75BA"/>
    <w:rsid w:val="00AC3951"/>
    <w:rsid w:val="00AC4AF4"/>
    <w:rsid w:val="00AC7EE8"/>
    <w:rsid w:val="00AE34B0"/>
    <w:rsid w:val="00AF1FF0"/>
    <w:rsid w:val="00AF2C9E"/>
    <w:rsid w:val="00AF4791"/>
    <w:rsid w:val="00AF6AA9"/>
    <w:rsid w:val="00AF6E66"/>
    <w:rsid w:val="00AF7C6B"/>
    <w:rsid w:val="00B01524"/>
    <w:rsid w:val="00B07D1F"/>
    <w:rsid w:val="00B11892"/>
    <w:rsid w:val="00B15C90"/>
    <w:rsid w:val="00B16311"/>
    <w:rsid w:val="00B16D00"/>
    <w:rsid w:val="00B218BB"/>
    <w:rsid w:val="00B25BE2"/>
    <w:rsid w:val="00B275C3"/>
    <w:rsid w:val="00B30313"/>
    <w:rsid w:val="00B335DE"/>
    <w:rsid w:val="00B45BDF"/>
    <w:rsid w:val="00B45FBF"/>
    <w:rsid w:val="00B50CEF"/>
    <w:rsid w:val="00B54E48"/>
    <w:rsid w:val="00B55C70"/>
    <w:rsid w:val="00B56E1F"/>
    <w:rsid w:val="00B626B0"/>
    <w:rsid w:val="00B642DC"/>
    <w:rsid w:val="00B6545B"/>
    <w:rsid w:val="00B664C9"/>
    <w:rsid w:val="00B674C4"/>
    <w:rsid w:val="00B67D7B"/>
    <w:rsid w:val="00B727A7"/>
    <w:rsid w:val="00B834DB"/>
    <w:rsid w:val="00B86A96"/>
    <w:rsid w:val="00B92213"/>
    <w:rsid w:val="00B92663"/>
    <w:rsid w:val="00B94B91"/>
    <w:rsid w:val="00BA0BA5"/>
    <w:rsid w:val="00BA5285"/>
    <w:rsid w:val="00BA6C62"/>
    <w:rsid w:val="00BC26F5"/>
    <w:rsid w:val="00BC6BE0"/>
    <w:rsid w:val="00BC7509"/>
    <w:rsid w:val="00BD0569"/>
    <w:rsid w:val="00BD092B"/>
    <w:rsid w:val="00BD2D1B"/>
    <w:rsid w:val="00BD3FBF"/>
    <w:rsid w:val="00BD5976"/>
    <w:rsid w:val="00BD5C87"/>
    <w:rsid w:val="00BD6B76"/>
    <w:rsid w:val="00BE5807"/>
    <w:rsid w:val="00BF0D29"/>
    <w:rsid w:val="00C13251"/>
    <w:rsid w:val="00C202EB"/>
    <w:rsid w:val="00C22915"/>
    <w:rsid w:val="00C24782"/>
    <w:rsid w:val="00C26C9B"/>
    <w:rsid w:val="00C2755F"/>
    <w:rsid w:val="00C3668C"/>
    <w:rsid w:val="00C53CC4"/>
    <w:rsid w:val="00C548BA"/>
    <w:rsid w:val="00C5646B"/>
    <w:rsid w:val="00C63937"/>
    <w:rsid w:val="00C66C11"/>
    <w:rsid w:val="00C81636"/>
    <w:rsid w:val="00C856DC"/>
    <w:rsid w:val="00C85B32"/>
    <w:rsid w:val="00C8637F"/>
    <w:rsid w:val="00C90048"/>
    <w:rsid w:val="00CA7C75"/>
    <w:rsid w:val="00CB0665"/>
    <w:rsid w:val="00CB6D4B"/>
    <w:rsid w:val="00CB6E35"/>
    <w:rsid w:val="00CC2E8D"/>
    <w:rsid w:val="00CC426C"/>
    <w:rsid w:val="00CD646E"/>
    <w:rsid w:val="00CD71C8"/>
    <w:rsid w:val="00CE411D"/>
    <w:rsid w:val="00CE7600"/>
    <w:rsid w:val="00CF0C04"/>
    <w:rsid w:val="00CF50D6"/>
    <w:rsid w:val="00D11615"/>
    <w:rsid w:val="00D12C49"/>
    <w:rsid w:val="00D157B1"/>
    <w:rsid w:val="00D25C39"/>
    <w:rsid w:val="00D26908"/>
    <w:rsid w:val="00D338AF"/>
    <w:rsid w:val="00D3486A"/>
    <w:rsid w:val="00D40BC6"/>
    <w:rsid w:val="00D41739"/>
    <w:rsid w:val="00D42035"/>
    <w:rsid w:val="00D46100"/>
    <w:rsid w:val="00D53FCF"/>
    <w:rsid w:val="00D70BF4"/>
    <w:rsid w:val="00D73BB7"/>
    <w:rsid w:val="00D75455"/>
    <w:rsid w:val="00D7702E"/>
    <w:rsid w:val="00D83863"/>
    <w:rsid w:val="00D85B04"/>
    <w:rsid w:val="00D86A2F"/>
    <w:rsid w:val="00D87A2C"/>
    <w:rsid w:val="00D90420"/>
    <w:rsid w:val="00DA0412"/>
    <w:rsid w:val="00DA3A3F"/>
    <w:rsid w:val="00DB122C"/>
    <w:rsid w:val="00DB281B"/>
    <w:rsid w:val="00DB28F4"/>
    <w:rsid w:val="00DB5002"/>
    <w:rsid w:val="00DB525A"/>
    <w:rsid w:val="00DC5254"/>
    <w:rsid w:val="00DE09F0"/>
    <w:rsid w:val="00DE59FD"/>
    <w:rsid w:val="00DE7095"/>
    <w:rsid w:val="00DF008F"/>
    <w:rsid w:val="00DF05F8"/>
    <w:rsid w:val="00DF0887"/>
    <w:rsid w:val="00DF3522"/>
    <w:rsid w:val="00DF3CD7"/>
    <w:rsid w:val="00E039D9"/>
    <w:rsid w:val="00E06F5A"/>
    <w:rsid w:val="00E07DED"/>
    <w:rsid w:val="00E17C2B"/>
    <w:rsid w:val="00E22A60"/>
    <w:rsid w:val="00E24BEE"/>
    <w:rsid w:val="00E3098C"/>
    <w:rsid w:val="00E31BE7"/>
    <w:rsid w:val="00E34868"/>
    <w:rsid w:val="00E37F20"/>
    <w:rsid w:val="00E412BB"/>
    <w:rsid w:val="00E50BCE"/>
    <w:rsid w:val="00E52C1F"/>
    <w:rsid w:val="00E53EF4"/>
    <w:rsid w:val="00E54B89"/>
    <w:rsid w:val="00E701CD"/>
    <w:rsid w:val="00E707C5"/>
    <w:rsid w:val="00E83B60"/>
    <w:rsid w:val="00E84869"/>
    <w:rsid w:val="00E84C8D"/>
    <w:rsid w:val="00E87844"/>
    <w:rsid w:val="00E93370"/>
    <w:rsid w:val="00E96CB3"/>
    <w:rsid w:val="00E97897"/>
    <w:rsid w:val="00EA145E"/>
    <w:rsid w:val="00EA3895"/>
    <w:rsid w:val="00EB1AEF"/>
    <w:rsid w:val="00EB711A"/>
    <w:rsid w:val="00EC2445"/>
    <w:rsid w:val="00ED167B"/>
    <w:rsid w:val="00ED1918"/>
    <w:rsid w:val="00EF7DAB"/>
    <w:rsid w:val="00F07861"/>
    <w:rsid w:val="00F12609"/>
    <w:rsid w:val="00F1565F"/>
    <w:rsid w:val="00F178BE"/>
    <w:rsid w:val="00F21244"/>
    <w:rsid w:val="00F2721A"/>
    <w:rsid w:val="00F35BF3"/>
    <w:rsid w:val="00F41FA0"/>
    <w:rsid w:val="00F44D3A"/>
    <w:rsid w:val="00F44F3D"/>
    <w:rsid w:val="00F50E29"/>
    <w:rsid w:val="00F51AEF"/>
    <w:rsid w:val="00F578C1"/>
    <w:rsid w:val="00F70672"/>
    <w:rsid w:val="00F73D6C"/>
    <w:rsid w:val="00F80947"/>
    <w:rsid w:val="00F86354"/>
    <w:rsid w:val="00F8744F"/>
    <w:rsid w:val="00FA016E"/>
    <w:rsid w:val="00FA0E84"/>
    <w:rsid w:val="00FA48F6"/>
    <w:rsid w:val="00FA6803"/>
    <w:rsid w:val="00FC30C4"/>
    <w:rsid w:val="00FD180C"/>
    <w:rsid w:val="00FE0747"/>
    <w:rsid w:val="00FE5BEC"/>
    <w:rsid w:val="00FF045A"/>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9ED6"/>
  <w15:chartTrackingRefBased/>
  <w15:docId w15:val="{07BDD39D-FA48-4E1E-A546-FA3D533B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1D"/>
    <w:pPr>
      <w:spacing w:before="120" w:after="120" w:line="276" w:lineRule="auto"/>
      <w:ind w:left="720"/>
    </w:pPr>
    <w:rPr>
      <w:rFonts w:ascii="Times New Roman" w:hAnsi="Times New Roman"/>
      <w:color w:val="0070C0"/>
      <w:sz w:val="22"/>
      <w:szCs w:val="22"/>
    </w:rPr>
  </w:style>
  <w:style w:type="paragraph" w:styleId="Heading1">
    <w:name w:val="heading 1"/>
    <w:basedOn w:val="Normal"/>
    <w:next w:val="Normal"/>
    <w:link w:val="Heading1Char"/>
    <w:uiPriority w:val="9"/>
    <w:qFormat/>
    <w:rsid w:val="0030413B"/>
    <w:pPr>
      <w:spacing w:after="360"/>
      <w:ind w:left="0"/>
      <w:contextualSpacing/>
      <w:outlineLvl w:val="0"/>
    </w:pPr>
    <w:rPr>
      <w:color w:val="auto"/>
      <w:sz w:val="36"/>
      <w:szCs w:val="36"/>
    </w:rPr>
  </w:style>
  <w:style w:type="paragraph" w:styleId="Heading2">
    <w:name w:val="heading 2"/>
    <w:basedOn w:val="ListParagraph"/>
    <w:next w:val="BodyText"/>
    <w:link w:val="Heading2Char"/>
    <w:qFormat/>
    <w:rsid w:val="0030413B"/>
    <w:pPr>
      <w:numPr>
        <w:ilvl w:val="0"/>
        <w:numId w:val="35"/>
      </w:numPr>
      <w:ind w:left="720"/>
      <w:outlineLvl w:val="1"/>
    </w:pPr>
    <w:rPr>
      <w:b/>
      <w:bCs/>
    </w:rPr>
  </w:style>
  <w:style w:type="paragraph" w:styleId="Heading3">
    <w:name w:val="heading 3"/>
    <w:basedOn w:val="ListParagraph"/>
    <w:next w:val="BodyText"/>
    <w:link w:val="Heading3Char"/>
    <w:qFormat/>
    <w:rsid w:val="0030413B"/>
    <w:pPr>
      <w:numPr>
        <w:ilvl w:val="0"/>
        <w:numId w:val="36"/>
      </w:numPr>
      <w:ind w:left="1080"/>
      <w:outlineLvl w:val="2"/>
    </w:pPr>
    <w:rPr>
      <w:b/>
      <w:bCs/>
    </w:rPr>
  </w:style>
  <w:style w:type="paragraph" w:styleId="Heading4">
    <w:name w:val="heading 4"/>
    <w:basedOn w:val="ListParagraph"/>
    <w:next w:val="Normal"/>
    <w:link w:val="Heading4Char"/>
    <w:uiPriority w:val="9"/>
    <w:unhideWhenUsed/>
    <w:qFormat/>
    <w:rsid w:val="0030413B"/>
    <w:pPr>
      <w:numPr>
        <w:ilvl w:val="0"/>
        <w:numId w:val="4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0413B"/>
    <w:rPr>
      <w:rFonts w:ascii="Times New Roman" w:hAnsi="Times New Roman"/>
      <w:b/>
      <w:bCs/>
      <w:sz w:val="22"/>
      <w:szCs w:val="22"/>
    </w:rPr>
  </w:style>
  <w:style w:type="character" w:customStyle="1" w:styleId="Heading3Char">
    <w:name w:val="Heading 3 Char"/>
    <w:link w:val="Heading3"/>
    <w:rsid w:val="0030413B"/>
    <w:rPr>
      <w:rFonts w:ascii="Times New Roman" w:hAnsi="Times New Roman"/>
      <w:b/>
      <w:bCs/>
      <w:sz w:val="22"/>
      <w:szCs w:val="22"/>
    </w:rPr>
  </w:style>
  <w:style w:type="paragraph" w:customStyle="1" w:styleId="CompanyName">
    <w:name w:val="Company Name"/>
    <w:basedOn w:val="Normal"/>
    <w:rsid w:val="000F7510"/>
    <w:pPr>
      <w:keepNext/>
      <w:keepLines/>
      <w:pBdr>
        <w:bottom w:val="single" w:sz="6" w:space="2" w:color="999999"/>
      </w:pBdr>
      <w:spacing w:before="0" w:after="0" w:line="220" w:lineRule="atLeast"/>
      <w:ind w:left="0"/>
    </w:pPr>
    <w:rPr>
      <w:rFonts w:ascii="Tahoma" w:eastAsia="Times New Roman" w:hAnsi="Tahoma"/>
      <w:spacing w:val="10"/>
      <w:kern w:val="28"/>
      <w:sz w:val="32"/>
      <w:szCs w:val="32"/>
    </w:rPr>
  </w:style>
  <w:style w:type="character" w:styleId="Hyperlink">
    <w:name w:val="Hyperlink"/>
    <w:rsid w:val="000F7510"/>
    <w:rPr>
      <w:color w:val="0000FF"/>
      <w:u w:val="single"/>
    </w:rPr>
  </w:style>
  <w:style w:type="paragraph" w:styleId="BodyText">
    <w:name w:val="Body Text"/>
    <w:basedOn w:val="Normal"/>
    <w:link w:val="BodyTextChar"/>
    <w:uiPriority w:val="99"/>
    <w:unhideWhenUsed/>
    <w:rsid w:val="00056D26"/>
  </w:style>
  <w:style w:type="character" w:customStyle="1" w:styleId="BodyTextChar">
    <w:name w:val="Body Text Char"/>
    <w:basedOn w:val="DefaultParagraphFont"/>
    <w:link w:val="BodyText"/>
    <w:uiPriority w:val="99"/>
    <w:rsid w:val="000F7510"/>
    <w:rPr>
      <w:sz w:val="22"/>
      <w:szCs w:val="22"/>
    </w:rPr>
  </w:style>
  <w:style w:type="character" w:styleId="CommentReference">
    <w:name w:val="annotation reference"/>
    <w:uiPriority w:val="99"/>
    <w:semiHidden/>
    <w:unhideWhenUsed/>
    <w:rsid w:val="00A64BFA"/>
    <w:rPr>
      <w:sz w:val="16"/>
      <w:szCs w:val="16"/>
    </w:rPr>
  </w:style>
  <w:style w:type="paragraph" w:styleId="CommentText">
    <w:name w:val="annotation text"/>
    <w:basedOn w:val="Normal"/>
    <w:link w:val="CommentTextChar"/>
    <w:uiPriority w:val="99"/>
    <w:semiHidden/>
    <w:unhideWhenUsed/>
    <w:rsid w:val="00A64BFA"/>
    <w:rPr>
      <w:sz w:val="20"/>
      <w:szCs w:val="20"/>
    </w:rPr>
  </w:style>
  <w:style w:type="character" w:customStyle="1" w:styleId="CommentTextChar">
    <w:name w:val="Comment Text Char"/>
    <w:basedOn w:val="DefaultParagraphFont"/>
    <w:link w:val="CommentText"/>
    <w:uiPriority w:val="99"/>
    <w:semiHidden/>
    <w:rsid w:val="00A64BFA"/>
  </w:style>
  <w:style w:type="paragraph" w:styleId="CommentSubject">
    <w:name w:val="annotation subject"/>
    <w:basedOn w:val="CommentText"/>
    <w:next w:val="CommentText"/>
    <w:link w:val="CommentSubjectChar"/>
    <w:uiPriority w:val="99"/>
    <w:semiHidden/>
    <w:unhideWhenUsed/>
    <w:rsid w:val="00A64BFA"/>
    <w:rPr>
      <w:b/>
      <w:bCs/>
    </w:rPr>
  </w:style>
  <w:style w:type="character" w:customStyle="1" w:styleId="CommentSubjectChar">
    <w:name w:val="Comment Subject Char"/>
    <w:link w:val="CommentSubject"/>
    <w:uiPriority w:val="99"/>
    <w:semiHidden/>
    <w:rsid w:val="00A64BFA"/>
    <w:rPr>
      <w:b/>
      <w:bCs/>
    </w:rPr>
  </w:style>
  <w:style w:type="paragraph" w:styleId="BalloonText">
    <w:name w:val="Balloon Text"/>
    <w:basedOn w:val="Normal"/>
    <w:link w:val="BalloonTextChar"/>
    <w:uiPriority w:val="99"/>
    <w:semiHidden/>
    <w:unhideWhenUsed/>
    <w:rsid w:val="00A64BFA"/>
    <w:pPr>
      <w:spacing w:before="0" w:after="0"/>
    </w:pPr>
    <w:rPr>
      <w:rFonts w:ascii="Tahoma" w:hAnsi="Tahoma" w:cs="Tahoma"/>
      <w:sz w:val="16"/>
      <w:szCs w:val="16"/>
    </w:rPr>
  </w:style>
  <w:style w:type="character" w:customStyle="1" w:styleId="BalloonTextChar">
    <w:name w:val="Balloon Text Char"/>
    <w:link w:val="BalloonText"/>
    <w:uiPriority w:val="99"/>
    <w:semiHidden/>
    <w:rsid w:val="00A64BFA"/>
    <w:rPr>
      <w:rFonts w:ascii="Tahoma" w:hAnsi="Tahoma" w:cs="Tahoma"/>
      <w:sz w:val="16"/>
      <w:szCs w:val="16"/>
    </w:rPr>
  </w:style>
  <w:style w:type="character" w:styleId="FollowedHyperlink">
    <w:name w:val="FollowedHyperlink"/>
    <w:uiPriority w:val="99"/>
    <w:semiHidden/>
    <w:unhideWhenUsed/>
    <w:rsid w:val="009B4E5F"/>
    <w:rPr>
      <w:color w:val="800080"/>
      <w:u w:val="single"/>
    </w:rPr>
  </w:style>
  <w:style w:type="paragraph" w:styleId="Header">
    <w:name w:val="header"/>
    <w:basedOn w:val="Normal"/>
    <w:link w:val="HeaderChar"/>
    <w:uiPriority w:val="99"/>
    <w:unhideWhenUsed/>
    <w:rsid w:val="00E83B60"/>
    <w:pPr>
      <w:tabs>
        <w:tab w:val="center" w:pos="4680"/>
        <w:tab w:val="right" w:pos="9360"/>
      </w:tabs>
    </w:pPr>
  </w:style>
  <w:style w:type="character" w:customStyle="1" w:styleId="HeaderChar">
    <w:name w:val="Header Char"/>
    <w:link w:val="Header"/>
    <w:uiPriority w:val="99"/>
    <w:rsid w:val="00E83B60"/>
    <w:rPr>
      <w:sz w:val="22"/>
      <w:szCs w:val="22"/>
    </w:rPr>
  </w:style>
  <w:style w:type="paragraph" w:styleId="Footer">
    <w:name w:val="footer"/>
    <w:basedOn w:val="Normal"/>
    <w:link w:val="FooterChar"/>
    <w:uiPriority w:val="99"/>
    <w:unhideWhenUsed/>
    <w:rsid w:val="00E83B60"/>
    <w:pPr>
      <w:tabs>
        <w:tab w:val="center" w:pos="4680"/>
        <w:tab w:val="right" w:pos="9360"/>
      </w:tabs>
    </w:pPr>
  </w:style>
  <w:style w:type="character" w:customStyle="1" w:styleId="FooterChar">
    <w:name w:val="Footer Char"/>
    <w:link w:val="Footer"/>
    <w:uiPriority w:val="99"/>
    <w:rsid w:val="00E83B60"/>
    <w:rPr>
      <w:sz w:val="22"/>
      <w:szCs w:val="22"/>
    </w:rPr>
  </w:style>
  <w:style w:type="paragraph" w:styleId="Revision">
    <w:name w:val="Revision"/>
    <w:hidden/>
    <w:uiPriority w:val="99"/>
    <w:semiHidden/>
    <w:rsid w:val="00903E58"/>
    <w:rPr>
      <w:sz w:val="22"/>
      <w:szCs w:val="22"/>
    </w:rPr>
  </w:style>
  <w:style w:type="table" w:styleId="TableGrid">
    <w:name w:val="Table Grid"/>
    <w:basedOn w:val="TableNormal"/>
    <w:uiPriority w:val="39"/>
    <w:rsid w:val="000E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7375"/>
    <w:rPr>
      <w:b/>
      <w:bCs/>
    </w:rPr>
  </w:style>
  <w:style w:type="paragraph" w:styleId="FootnoteText">
    <w:name w:val="footnote text"/>
    <w:basedOn w:val="Normal"/>
    <w:link w:val="FootnoteTextChar"/>
    <w:uiPriority w:val="99"/>
    <w:semiHidden/>
    <w:unhideWhenUsed/>
    <w:rsid w:val="007F519A"/>
    <w:rPr>
      <w:sz w:val="20"/>
      <w:szCs w:val="20"/>
    </w:rPr>
  </w:style>
  <w:style w:type="character" w:customStyle="1" w:styleId="FootnoteTextChar">
    <w:name w:val="Footnote Text Char"/>
    <w:basedOn w:val="DefaultParagraphFont"/>
    <w:link w:val="FootnoteText"/>
    <w:uiPriority w:val="99"/>
    <w:semiHidden/>
    <w:rsid w:val="007F519A"/>
  </w:style>
  <w:style w:type="character" w:styleId="FootnoteReference">
    <w:name w:val="footnote reference"/>
    <w:uiPriority w:val="99"/>
    <w:semiHidden/>
    <w:unhideWhenUsed/>
    <w:rsid w:val="007F519A"/>
    <w:rPr>
      <w:vertAlign w:val="superscript"/>
    </w:rPr>
  </w:style>
  <w:style w:type="paragraph" w:styleId="ListParagraph">
    <w:name w:val="List Paragraph"/>
    <w:qFormat/>
    <w:rsid w:val="004A3264"/>
    <w:pPr>
      <w:numPr>
        <w:ilvl w:val="1"/>
        <w:numId w:val="31"/>
      </w:numPr>
      <w:spacing w:before="120" w:after="120" w:line="276" w:lineRule="auto"/>
      <w:ind w:left="1080"/>
      <w:contextualSpacing/>
    </w:pPr>
    <w:rPr>
      <w:rFonts w:ascii="Times New Roman" w:hAnsi="Times New Roman"/>
      <w:sz w:val="22"/>
      <w:szCs w:val="22"/>
    </w:rPr>
  </w:style>
  <w:style w:type="character" w:customStyle="1" w:styleId="Heading1Char">
    <w:name w:val="Heading 1 Char"/>
    <w:basedOn w:val="DefaultParagraphFont"/>
    <w:link w:val="Heading1"/>
    <w:uiPriority w:val="9"/>
    <w:rsid w:val="0030413B"/>
    <w:rPr>
      <w:rFonts w:ascii="Times New Roman" w:hAnsi="Times New Roman"/>
      <w:sz w:val="36"/>
      <w:szCs w:val="36"/>
    </w:rPr>
  </w:style>
  <w:style w:type="character" w:customStyle="1" w:styleId="Heading4Char">
    <w:name w:val="Heading 4 Char"/>
    <w:basedOn w:val="DefaultParagraphFont"/>
    <w:link w:val="Heading4"/>
    <w:uiPriority w:val="9"/>
    <w:rsid w:val="0030413B"/>
    <w:rPr>
      <w:rFonts w:ascii="Times New Roman" w:hAnsi="Times New Roman"/>
      <w:b/>
      <w:bCs/>
      <w:sz w:val="22"/>
      <w:szCs w:val="22"/>
    </w:rPr>
  </w:style>
  <w:style w:type="character" w:styleId="IntenseEmphasis">
    <w:name w:val="Intense Emphasis"/>
    <w:uiPriority w:val="21"/>
    <w:qFormat/>
    <w:rsid w:val="00323B35"/>
    <w:rPr>
      <w:rFonts w:ascii="Times New Roman" w:hAnsi="Times New Roman"/>
      <w:bCs/>
      <w:color w:val="0070C0"/>
    </w:rPr>
  </w:style>
  <w:style w:type="character" w:styleId="Emphasis">
    <w:name w:val="Emphasis"/>
    <w:uiPriority w:val="20"/>
    <w:qFormat/>
    <w:rsid w:val="00323B35"/>
    <w:rPr>
      <w:rFonts w:ascii="Times New Roman" w:hAnsi="Times New Roman"/>
      <w:b/>
      <w:bCs/>
      <w:color w:val="0070C0"/>
    </w:rPr>
  </w:style>
  <w:style w:type="character" w:styleId="SubtleEmphasis">
    <w:name w:val="Subtle Emphasis"/>
    <w:uiPriority w:val="19"/>
    <w:qFormat/>
    <w:rsid w:val="00323B35"/>
    <w:rPr>
      <w:rFonts w:ascii="Times New Roman" w:hAnsi="Times New Roman"/>
      <w:bCs/>
      <w:i/>
      <w:color w:val="0070C0"/>
    </w:rPr>
  </w:style>
  <w:style w:type="paragraph" w:styleId="Title">
    <w:name w:val="Title"/>
    <w:basedOn w:val="Normal"/>
    <w:next w:val="Normal"/>
    <w:link w:val="TitleChar"/>
    <w:uiPriority w:val="10"/>
    <w:qFormat/>
    <w:rsid w:val="0030413B"/>
    <w:pPr>
      <w:spacing w:before="240"/>
      <w:ind w:left="0"/>
    </w:pPr>
    <w:rPr>
      <w:b/>
      <w:bCs/>
      <w:color w:val="auto"/>
      <w:sz w:val="36"/>
      <w:szCs w:val="36"/>
    </w:rPr>
  </w:style>
  <w:style w:type="character" w:customStyle="1" w:styleId="TitleChar">
    <w:name w:val="Title Char"/>
    <w:basedOn w:val="DefaultParagraphFont"/>
    <w:link w:val="Title"/>
    <w:uiPriority w:val="10"/>
    <w:rsid w:val="0030413B"/>
    <w:rPr>
      <w:rFonts w:ascii="Times New Roman" w:hAnsi="Times New Roman"/>
      <w:b/>
      <w:bCs/>
      <w:sz w:val="36"/>
      <w:szCs w:val="36"/>
    </w:rPr>
  </w:style>
  <w:style w:type="paragraph" w:styleId="Subtitle">
    <w:name w:val="Subtitle"/>
    <w:basedOn w:val="Normal"/>
    <w:next w:val="Normal"/>
    <w:link w:val="SubtitleChar"/>
    <w:uiPriority w:val="11"/>
    <w:qFormat/>
    <w:rsid w:val="000554F2"/>
    <w:pPr>
      <w:numPr>
        <w:ilvl w:val="1"/>
      </w:numPr>
      <w:spacing w:after="240"/>
      <w:ind w:left="720" w:hanging="360"/>
      <w:jc w:val="center"/>
    </w:pPr>
    <w:rPr>
      <w:rFonts w:eastAsiaTheme="minorEastAsia" w:cstheme="minorBidi"/>
      <w:spacing w:val="15"/>
      <w:sz w:val="32"/>
      <w:szCs w:val="20"/>
    </w:rPr>
  </w:style>
  <w:style w:type="character" w:customStyle="1" w:styleId="SubtitleChar">
    <w:name w:val="Subtitle Char"/>
    <w:basedOn w:val="DefaultParagraphFont"/>
    <w:link w:val="Subtitle"/>
    <w:uiPriority w:val="11"/>
    <w:rsid w:val="000554F2"/>
    <w:rPr>
      <w:rFonts w:ascii="Times New Roman" w:eastAsiaTheme="minorEastAsia" w:hAnsi="Times New Roman" w:cstheme="minorBidi"/>
      <w:spacing w:val="15"/>
      <w:sz w:val="32"/>
    </w:rPr>
  </w:style>
  <w:style w:type="character" w:styleId="UnresolvedMention">
    <w:name w:val="Unresolved Mention"/>
    <w:basedOn w:val="DefaultParagraphFont"/>
    <w:uiPriority w:val="99"/>
    <w:semiHidden/>
    <w:unhideWhenUsed/>
    <w:rsid w:val="00B4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8172">
      <w:bodyDiv w:val="1"/>
      <w:marLeft w:val="0"/>
      <w:marRight w:val="0"/>
      <w:marTop w:val="0"/>
      <w:marBottom w:val="0"/>
      <w:divBdr>
        <w:top w:val="none" w:sz="0" w:space="0" w:color="auto"/>
        <w:left w:val="none" w:sz="0" w:space="0" w:color="auto"/>
        <w:bottom w:val="none" w:sz="0" w:space="0" w:color="auto"/>
        <w:right w:val="none" w:sz="0" w:space="0" w:color="auto"/>
      </w:divBdr>
    </w:div>
    <w:div w:id="1113015386">
      <w:bodyDiv w:val="1"/>
      <w:marLeft w:val="0"/>
      <w:marRight w:val="0"/>
      <w:marTop w:val="0"/>
      <w:marBottom w:val="0"/>
      <w:divBdr>
        <w:top w:val="none" w:sz="0" w:space="0" w:color="auto"/>
        <w:left w:val="none" w:sz="0" w:space="0" w:color="auto"/>
        <w:bottom w:val="none" w:sz="0" w:space="0" w:color="auto"/>
        <w:right w:val="none" w:sz="0" w:space="0" w:color="auto"/>
      </w:divBdr>
    </w:div>
    <w:div w:id="1301224130">
      <w:bodyDiv w:val="1"/>
      <w:marLeft w:val="0"/>
      <w:marRight w:val="0"/>
      <w:marTop w:val="0"/>
      <w:marBottom w:val="0"/>
      <w:divBdr>
        <w:top w:val="none" w:sz="0" w:space="0" w:color="auto"/>
        <w:left w:val="none" w:sz="0" w:space="0" w:color="auto"/>
        <w:bottom w:val="none" w:sz="0" w:space="0" w:color="auto"/>
        <w:right w:val="none" w:sz="0" w:space="0" w:color="auto"/>
      </w:divBdr>
    </w:div>
    <w:div w:id="1411805739">
      <w:bodyDiv w:val="1"/>
      <w:marLeft w:val="0"/>
      <w:marRight w:val="0"/>
      <w:marTop w:val="0"/>
      <w:marBottom w:val="0"/>
      <w:divBdr>
        <w:top w:val="none" w:sz="0" w:space="0" w:color="auto"/>
        <w:left w:val="none" w:sz="0" w:space="0" w:color="auto"/>
        <w:bottom w:val="none" w:sz="0" w:space="0" w:color="auto"/>
        <w:right w:val="none" w:sz="0" w:space="0" w:color="auto"/>
      </w:divBdr>
    </w:div>
    <w:div w:id="1444498578">
      <w:bodyDiv w:val="1"/>
      <w:marLeft w:val="0"/>
      <w:marRight w:val="0"/>
      <w:marTop w:val="0"/>
      <w:marBottom w:val="0"/>
      <w:divBdr>
        <w:top w:val="none" w:sz="0" w:space="0" w:color="auto"/>
        <w:left w:val="none" w:sz="0" w:space="0" w:color="auto"/>
        <w:bottom w:val="none" w:sz="0" w:space="0" w:color="auto"/>
        <w:right w:val="none" w:sz="0" w:space="0" w:color="auto"/>
      </w:divBdr>
    </w:div>
    <w:div w:id="1911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college-of-business/office-of-the-dean/learning-goals" TargetMode="External"/><Relationship Id="rId13" Type="http://schemas.openxmlformats.org/officeDocument/2006/relationships/hyperlink" Target="https://www.csulb.edu/academic-senate/policy-statement-11-07-syllabi-and-standard-course-outline-course-superseded-ps-04" TargetMode="External"/><Relationship Id="rId18" Type="http://schemas.openxmlformats.org/officeDocument/2006/relationships/hyperlink" Target="https://www.csulb.edu/academic-senate/policy-statement-12-03-final-course-grades-grading-procedures-and-final-assess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sulb.edu/academic-senate/policy-statement-08-11-accessibility-and-faculty-responsibility-for-the-selection-of" TargetMode="External"/><Relationship Id="rId7" Type="http://schemas.openxmlformats.org/officeDocument/2006/relationships/endnotes" Target="endnotes.xml"/><Relationship Id="rId12" Type="http://schemas.openxmlformats.org/officeDocument/2006/relationships/hyperlink" Target="https://www.csulb.edu/academic-senate/policy-statement-17-17-attendance-policy-supersedes-01-01" TargetMode="External"/><Relationship Id="rId17" Type="http://schemas.openxmlformats.org/officeDocument/2006/relationships/hyperlink" Target="http://web.csulb.edu/divisions/aa/grad_undergrad/senate/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csulb.edu/divisions/aa/catalog/current/academic_information/index.html" TargetMode="External"/><Relationship Id="rId20" Type="http://schemas.openxmlformats.org/officeDocument/2006/relationships/hyperlink" Target="mailto:bmac@csul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senate/policy-statement-11-07-syllabi-and-standard-course-outline-course-superseded-ps-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ulb.edu/academic-senate/policy-statement-03-11-academic-technology-and-the-mode-of-instruction" TargetMode="External"/><Relationship Id="rId23" Type="http://schemas.openxmlformats.org/officeDocument/2006/relationships/header" Target="header1.xml"/><Relationship Id="rId10" Type="http://schemas.openxmlformats.org/officeDocument/2006/relationships/hyperlink" Target="https://www.csulb.edu/academic-senate/policy-statement-03-11-academic-technology-and-the-mode-of-instruction" TargetMode="External"/><Relationship Id="rId19" Type="http://schemas.openxmlformats.org/officeDocument/2006/relationships/hyperlink" Target="https://web.csulb.edu/divisions/students/dss/" TargetMode="External"/><Relationship Id="rId4" Type="http://schemas.openxmlformats.org/officeDocument/2006/relationships/settings" Target="settings.xml"/><Relationship Id="rId9" Type="http://schemas.openxmlformats.org/officeDocument/2006/relationships/hyperlink" Target="https://www.csulb.edu/college-of-business/office-of-the-dean/learning-goals" TargetMode="External"/><Relationship Id="rId14" Type="http://schemas.openxmlformats.org/officeDocument/2006/relationships/hyperlink" Target="https://www.csulb.edu/academic-senate/policy-statement-12-03-final-course-grades-grading-procedures-and-final-assessments" TargetMode="External"/><Relationship Id="rId22" Type="http://schemas.openxmlformats.org/officeDocument/2006/relationships/hyperlink" Target="https://www.csulb.edu/college-of-business/office-of-the-dean/sco-and-syllabi-relate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45EB-F9F3-4B2A-8132-0D0C9356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CSULB COB Standard Course Outline</vt:lpstr>
    </vt:vector>
  </TitlesOfParts>
  <Company>California State University, Long Beach -- CBA</Company>
  <LinksUpToDate>false</LinksUpToDate>
  <CharactersWithSpaces>18989</CharactersWithSpaces>
  <SharedDoc>false</SharedDoc>
  <HLinks>
    <vt:vector size="96" baseType="variant">
      <vt:variant>
        <vt:i4>1114118</vt:i4>
      </vt:variant>
      <vt:variant>
        <vt:i4>36</vt:i4>
      </vt:variant>
      <vt:variant>
        <vt:i4>0</vt:i4>
      </vt:variant>
      <vt:variant>
        <vt:i4>5</vt:i4>
      </vt:variant>
      <vt:variant>
        <vt:lpwstr>http://web.csulb.edu/divisions/aa/personnel/fcpd/documents/2010SampleSyllabustemplate.doc</vt:lpwstr>
      </vt:variant>
      <vt:variant>
        <vt:lpwstr/>
      </vt:variant>
      <vt:variant>
        <vt:i4>8060961</vt:i4>
      </vt:variant>
      <vt:variant>
        <vt:i4>33</vt:i4>
      </vt:variant>
      <vt:variant>
        <vt:i4>0</vt:i4>
      </vt:variant>
      <vt:variant>
        <vt:i4>5</vt:i4>
      </vt:variant>
      <vt:variant>
        <vt:lpwstr>http://web.csulb.edu/divisions/aa/academic_technology/itss/course_materials/accessibility/SampleSyllabustemplate.rtf</vt:lpwstr>
      </vt:variant>
      <vt:variant>
        <vt:lpwstr/>
      </vt:variant>
      <vt:variant>
        <vt:i4>5308459</vt:i4>
      </vt:variant>
      <vt:variant>
        <vt:i4>30</vt:i4>
      </vt:variant>
      <vt:variant>
        <vt:i4>0</vt:i4>
      </vt:variant>
      <vt:variant>
        <vt:i4>5</vt:i4>
      </vt:variant>
      <vt:variant>
        <vt:lpwstr>http://web.csulb.edu/divisions/aa/grad_undergrad/senate/policy/academic/alphabetical/SyllabiCourseOutlines11-07.html</vt:lpwstr>
      </vt:variant>
      <vt:variant>
        <vt:lpwstr/>
      </vt:variant>
      <vt:variant>
        <vt:i4>721013</vt:i4>
      </vt:variant>
      <vt:variant>
        <vt:i4>27</vt:i4>
      </vt:variant>
      <vt:variant>
        <vt:i4>0</vt:i4>
      </vt:variant>
      <vt:variant>
        <vt:i4>5</vt:i4>
      </vt:variant>
      <vt:variant>
        <vt:lpwstr>http://web.csulb.edu/divisions/aa/grad_undergrad/senate/documents/policy/2008/11/</vt:lpwstr>
      </vt:variant>
      <vt:variant>
        <vt:lpwstr/>
      </vt:variant>
      <vt:variant>
        <vt:i4>7405652</vt:i4>
      </vt:variant>
      <vt:variant>
        <vt:i4>24</vt:i4>
      </vt:variant>
      <vt:variant>
        <vt:i4>0</vt:i4>
      </vt:variant>
      <vt:variant>
        <vt:i4>5</vt:i4>
      </vt:variant>
      <vt:variant>
        <vt:lpwstr>http://web.csulb.edu/divisions/aa/grad_undergrad/senate/policy/academic/alphabetical/FinalCourseGrades.html</vt:lpwstr>
      </vt:variant>
      <vt:variant>
        <vt:lpwstr/>
      </vt:variant>
      <vt:variant>
        <vt:i4>3342356</vt:i4>
      </vt:variant>
      <vt:variant>
        <vt:i4>21</vt:i4>
      </vt:variant>
      <vt:variant>
        <vt:i4>0</vt:i4>
      </vt:variant>
      <vt:variant>
        <vt:i4>5</vt:i4>
      </vt:variant>
      <vt:variant>
        <vt:lpwstr>http://web.csulb.edu/divisions/aa/grad_undergrad/senate/policy/</vt:lpwstr>
      </vt:variant>
      <vt:variant>
        <vt:lpwstr/>
      </vt:variant>
      <vt:variant>
        <vt:i4>852023</vt:i4>
      </vt:variant>
      <vt:variant>
        <vt:i4>18</vt:i4>
      </vt:variant>
      <vt:variant>
        <vt:i4>0</vt:i4>
      </vt:variant>
      <vt:variant>
        <vt:i4>5</vt:i4>
      </vt:variant>
      <vt:variant>
        <vt:lpwstr>http://web.csulb.edu/divisions/aa/catalog/current/academic_information/index.html</vt:lpwstr>
      </vt:variant>
      <vt:variant>
        <vt:lpwstr/>
      </vt:variant>
      <vt:variant>
        <vt:i4>721022</vt:i4>
      </vt:variant>
      <vt:variant>
        <vt:i4>15</vt:i4>
      </vt:variant>
      <vt:variant>
        <vt:i4>0</vt:i4>
      </vt:variant>
      <vt:variant>
        <vt:i4>5</vt:i4>
      </vt:variant>
      <vt:variant>
        <vt:lpwstr>http://web.csulb.edu/divisions/aa/grad_undergrad/senate/documents/policy/2003/11/</vt:lpwstr>
      </vt:variant>
      <vt:variant>
        <vt:lpwstr/>
      </vt:variant>
      <vt:variant>
        <vt:i4>7405652</vt:i4>
      </vt:variant>
      <vt:variant>
        <vt:i4>12</vt:i4>
      </vt:variant>
      <vt:variant>
        <vt:i4>0</vt:i4>
      </vt:variant>
      <vt:variant>
        <vt:i4>5</vt:i4>
      </vt:variant>
      <vt:variant>
        <vt:lpwstr>http://web.csulb.edu/divisions/aa/grad_undergrad/senate/policy/academic/alphabetical/FinalCourseGrades.html</vt:lpwstr>
      </vt:variant>
      <vt:variant>
        <vt:lpwstr/>
      </vt:variant>
      <vt:variant>
        <vt:i4>1704042</vt:i4>
      </vt:variant>
      <vt:variant>
        <vt:i4>9</vt:i4>
      </vt:variant>
      <vt:variant>
        <vt:i4>0</vt:i4>
      </vt:variant>
      <vt:variant>
        <vt:i4>5</vt:i4>
      </vt:variant>
      <vt:variant>
        <vt:lpwstr>http://www.csulb.edu/divisions/aa/grad_undergrad/senate/documents/policy/2004/05/</vt:lpwstr>
      </vt:variant>
      <vt:variant>
        <vt:lpwstr/>
      </vt:variant>
      <vt:variant>
        <vt:i4>1966191</vt:i4>
      </vt:variant>
      <vt:variant>
        <vt:i4>6</vt:i4>
      </vt:variant>
      <vt:variant>
        <vt:i4>0</vt:i4>
      </vt:variant>
      <vt:variant>
        <vt:i4>5</vt:i4>
      </vt:variant>
      <vt:variant>
        <vt:lpwstr>http://www.csulb.edu/divisions/aa/grad_undergrad/senate/documents/policy/2001/01</vt:lpwstr>
      </vt:variant>
      <vt:variant>
        <vt:lpwstr/>
      </vt:variant>
      <vt:variant>
        <vt:i4>7471189</vt:i4>
      </vt:variant>
      <vt:variant>
        <vt:i4>3</vt:i4>
      </vt:variant>
      <vt:variant>
        <vt:i4>0</vt:i4>
      </vt:variant>
      <vt:variant>
        <vt:i4>5</vt:i4>
      </vt:variant>
      <vt:variant>
        <vt:lpwstr>http://web.csulb.edu/divisions/aa/grad_undergrad/senate/policy/academic/numerical/SCO.html</vt:lpwstr>
      </vt:variant>
      <vt:variant>
        <vt:lpwstr/>
      </vt:variant>
      <vt:variant>
        <vt:i4>721022</vt:i4>
      </vt:variant>
      <vt:variant>
        <vt:i4>0</vt:i4>
      </vt:variant>
      <vt:variant>
        <vt:i4>0</vt:i4>
      </vt:variant>
      <vt:variant>
        <vt:i4>5</vt:i4>
      </vt:variant>
      <vt:variant>
        <vt:lpwstr>http://web.csulb.edu/divisions/aa/grad_undergrad/senate/documents/policy/2003/11/</vt:lpwstr>
      </vt:variant>
      <vt:variant>
        <vt:lpwstr/>
      </vt:variant>
      <vt:variant>
        <vt:i4>3342356</vt:i4>
      </vt:variant>
      <vt:variant>
        <vt:i4>6</vt:i4>
      </vt:variant>
      <vt:variant>
        <vt:i4>0</vt:i4>
      </vt:variant>
      <vt:variant>
        <vt:i4>5</vt:i4>
      </vt:variant>
      <vt:variant>
        <vt:lpwstr>http://web.csulb.edu/divisions/aa/grad_undergrad/senate/policy/</vt:lpwstr>
      </vt:variant>
      <vt:variant>
        <vt:lpwstr/>
      </vt:variant>
      <vt:variant>
        <vt:i4>3342356</vt:i4>
      </vt:variant>
      <vt:variant>
        <vt:i4>3</vt:i4>
      </vt:variant>
      <vt:variant>
        <vt:i4>0</vt:i4>
      </vt:variant>
      <vt:variant>
        <vt:i4>5</vt:i4>
      </vt:variant>
      <vt:variant>
        <vt:lpwstr>http://web.csulb.edu/divisions/aa/grad_undergrad/senate/policy/</vt:lpwstr>
      </vt:variant>
      <vt:variant>
        <vt:lpwstr/>
      </vt:variant>
      <vt:variant>
        <vt:i4>3342356</vt:i4>
      </vt:variant>
      <vt:variant>
        <vt:i4>0</vt:i4>
      </vt:variant>
      <vt:variant>
        <vt:i4>0</vt:i4>
      </vt:variant>
      <vt:variant>
        <vt:i4>5</vt:i4>
      </vt:variant>
      <vt:variant>
        <vt:lpwstr>http://web.csulb.edu/divisions/aa/grad_undergrad/senate/policy/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COB Standard Course Outline</dc:title>
  <dc:subject/>
  <dc:creator>CBA Faculty</dc:creator>
  <cp:keywords>CSULB CBA</cp:keywords>
  <cp:lastModifiedBy>Rachel Rivas</cp:lastModifiedBy>
  <cp:revision>19</cp:revision>
  <cp:lastPrinted>2016-05-16T19:55:00Z</cp:lastPrinted>
  <dcterms:created xsi:type="dcterms:W3CDTF">2021-05-25T16:08:00Z</dcterms:created>
  <dcterms:modified xsi:type="dcterms:W3CDTF">2021-09-21T15:45:00Z</dcterms:modified>
</cp:coreProperties>
</file>